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Осенний семестр 2023-2024 учебного года</w:t>
      </w:r>
    </w:p>
    <w:p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Образовательная программа « </w:t>
      </w:r>
      <w:r>
        <w:rPr>
          <w:rFonts w:hint="default"/>
          <w:b/>
          <w:sz w:val="20"/>
          <w:szCs w:val="20"/>
          <w:lang w:val="ru-RU"/>
        </w:rPr>
        <w:t>Переводческое дело</w:t>
      </w:r>
      <w:bookmarkStart w:id="0" w:name="_GoBack"/>
      <w:bookmarkEnd w:id="0"/>
      <w:r>
        <w:rPr>
          <w:b/>
          <w:sz w:val="20"/>
          <w:szCs w:val="20"/>
        </w:rPr>
        <w:t xml:space="preserve"> »</w:t>
      </w:r>
    </w:p>
    <w:p>
      <w:pPr>
        <w:rPr>
          <w:bCs/>
          <w:color w:val="FF0000"/>
          <w:sz w:val="20"/>
          <w:szCs w:val="20"/>
          <w:lang w:val="en-US"/>
        </w:rPr>
      </w:pPr>
    </w:p>
    <w:tbl>
      <w:tblPr>
        <w:tblStyle w:val="9"/>
        <w:tblW w:w="15237" w:type="dxa"/>
        <w:tblInd w:w="-85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701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65" w:hRule="atLeast"/>
        </w:trPr>
        <w:tc>
          <w:tcPr>
            <w:tcW w:w="1701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DBE5F1" w:themeFill="accent1" w:themeFillTint="33"/>
          </w:tcPr>
          <w:p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ID и наименование</w:t>
            </w:r>
            <w:r>
              <w:rPr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BE5F1" w:themeFill="accent1" w:themeFillTint="33"/>
          </w:tcPr>
          <w:p>
            <w:pPr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обучающегося</w:t>
            </w:r>
          </w:p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(СРО)</w:t>
            </w:r>
          </w:p>
          <w:p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>
              <w:rPr>
                <w:bCs/>
                <w:i/>
                <w:iCs/>
                <w:color w:val="FF0000"/>
                <w:sz w:val="16"/>
                <w:szCs w:val="16"/>
              </w:rPr>
              <w:t xml:space="preserve">Вносите СРС, СРМ, СРД </w:t>
            </w:r>
          </w:p>
          <w:p>
            <w:pPr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color w:val="FF0000"/>
                <w:sz w:val="16"/>
                <w:szCs w:val="16"/>
              </w:rPr>
              <w:t>в зависимости от уровня обучения</w:t>
            </w:r>
          </w:p>
        </w:tc>
        <w:tc>
          <w:tcPr>
            <w:tcW w:w="2835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BE5F1" w:themeFill="accent1" w:themeFillTint="33"/>
          </w:tcPr>
          <w:p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 xml:space="preserve">Кол-во </w:t>
            </w:r>
            <w:r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BE5F1" w:themeFill="accent1" w:themeFillTint="33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7015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BE5F1" w:themeFill="accent1" w:themeFillTint="33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обучающегося</w:t>
            </w:r>
          </w:p>
          <w:p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под руководством преподавателя (СРОП)</w:t>
            </w:r>
            <w:r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>
              <w:rPr>
                <w:bCs/>
                <w:i/>
                <w:iCs/>
                <w:color w:val="FF0000"/>
                <w:sz w:val="16"/>
                <w:szCs w:val="16"/>
              </w:rPr>
              <w:t>Вносите СРСП, СРМП, СРДП в зависимости от уровня обучения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883" w:hRule="atLeast"/>
        </w:trPr>
        <w:tc>
          <w:tcPr>
            <w:tcW w:w="1701" w:type="dxa"/>
            <w:vMerge w:val="continue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 w:val="continue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BE5F1" w:themeFill="accent1" w:themeFillTint="33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BE5F1" w:themeFill="accent1" w:themeFillTint="33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7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BE5F1" w:themeFill="accent1" w:themeFillTint="33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 w:val="continue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7015" w:type="dxa"/>
            <w:vMerge w:val="continue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1</w:t>
            </w:r>
          </w:p>
        </w:tc>
        <w:tc>
          <w:tcPr>
            <w:tcW w:w="2269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rPr>
                <w:rStyle w:val="44"/>
                <w:rFonts w:hint="default"/>
                <w:color w:val="FF0000"/>
                <w:sz w:val="16"/>
                <w:szCs w:val="16"/>
                <w:shd w:val="clear" w:color="auto" w:fill="FFFFFF"/>
                <w:lang w:val="ru-RU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rStyle w:val="44"/>
                <w:rFonts w:hint="default"/>
                <w:color w:val="FF0000"/>
                <w:sz w:val="20"/>
                <w:szCs w:val="20"/>
                <w:shd w:val="clear" w:color="auto" w:fill="FFFFFF"/>
                <w:lang w:val="en-US"/>
              </w:rPr>
              <w:t>9</w:t>
            </w:r>
            <w:r>
              <w:rPr>
                <w:rStyle w:val="44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30</w:t>
            </w:r>
          </w:p>
        </w:tc>
        <w:tc>
          <w:tcPr>
            <w:tcW w:w="7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9</w:t>
            </w:r>
          </w:p>
        </w:tc>
        <w:tc>
          <w:tcPr>
            <w:tcW w:w="70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rPr>
                <w:sz w:val="20"/>
                <w:szCs w:val="20"/>
                <w:lang w:val="kk-KZ"/>
              </w:rPr>
            </w:pPr>
            <w:r>
              <w:rPr>
                <w:rFonts w:hint="default"/>
                <w:color w:val="FF0000"/>
                <w:sz w:val="16"/>
                <w:szCs w:val="16"/>
                <w:lang w:val="en-US"/>
              </w:rPr>
              <w:t>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25" w:hRule="atLeast"/>
        </w:trPr>
        <w:tc>
          <w:tcPr>
            <w:tcW w:w="15237" w:type="dxa"/>
            <w:gridSpan w:val="8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BE5F1" w:themeFill="accent1" w:themeFillTint="33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АКАДЕМИЧЕСКАЯ ИНФОРМАЦИЯ О ДИСЦИПЛИНЕ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Формат обучения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Цикл, </w:t>
            </w:r>
          </w:p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8432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Форма и платформа</w:t>
            </w:r>
          </w:p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итогового контроля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/>
                <w:bCs/>
                <w:i/>
                <w:iCs/>
                <w:sz w:val="20"/>
                <w:szCs w:val="20"/>
                <w:highlight w:val="yellow"/>
                <w:lang w:val="ru-RU"/>
              </w:rPr>
            </w:pPr>
            <w:r>
              <w:rPr>
                <w:rFonts w:hint="default"/>
                <w:bCs/>
                <w:i/>
                <w:iCs/>
                <w:sz w:val="20"/>
                <w:szCs w:val="20"/>
                <w:highlight w:val="yellow"/>
                <w:lang w:val="ru-RU"/>
              </w:rPr>
              <w:t>онлайн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Вузовский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компонент</w:t>
            </w:r>
          </w:p>
        </w:tc>
        <w:tc>
          <w:tcPr>
            <w:tcW w:w="1986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______</w:t>
            </w:r>
          </w:p>
        </w:tc>
        <w:tc>
          <w:tcPr>
            <w:tcW w:w="1843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jc w:val="both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семинары</w:t>
            </w:r>
          </w:p>
        </w:tc>
        <w:tc>
          <w:tcPr>
            <w:tcW w:w="8432" w:type="dxa"/>
            <w:gridSpan w:val="2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rPr>
                <w:rFonts w:hint="default"/>
                <w:sz w:val="16"/>
                <w:szCs w:val="16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Устная</w:t>
            </w:r>
            <w:r>
              <w:rPr>
                <w:rFonts w:hint="default"/>
                <w:sz w:val="18"/>
                <w:szCs w:val="18"/>
                <w:lang w:val="ru-RU"/>
              </w:rPr>
              <w:t xml:space="preserve"> онлайн                                                       </w:t>
            </w:r>
            <w:r>
              <w:rPr>
                <w:rFonts w:hint="default"/>
                <w:sz w:val="16"/>
                <w:szCs w:val="16"/>
                <w:lang w:val="ru-RU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14" w:hRule="atLeast"/>
        </w:trPr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Лектор</w:t>
            </w:r>
            <w:r>
              <w:rPr>
                <w:b/>
                <w:sz w:val="20"/>
                <w:szCs w:val="20"/>
                <w:lang w:val="kk-KZ"/>
              </w:rPr>
              <w:t xml:space="preserve"> -</w:t>
            </w:r>
            <w:r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Макатаева Шолпан Мукагалиевна</w:t>
            </w:r>
          </w:p>
        </w:tc>
        <w:tc>
          <w:tcPr>
            <w:tcW w:w="8432" w:type="dxa"/>
            <w:gridSpan w:val="2"/>
            <w:vMerge w:val="continue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e-mail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de-CH"/>
              </w:rPr>
              <w:t>E</w:t>
            </w:r>
            <w:r>
              <w:rPr>
                <w:sz w:val="20"/>
                <w:szCs w:val="20"/>
                <w:lang w:val="fr-FR"/>
              </w:rPr>
              <w:t>-</w:t>
            </w:r>
            <w:r>
              <w:rPr>
                <w:sz w:val="20"/>
                <w:szCs w:val="20"/>
                <w:lang w:val="de-CH"/>
              </w:rPr>
              <w:t>mail</w:t>
            </w:r>
            <w:r>
              <w:rPr>
                <w:sz w:val="20"/>
                <w:szCs w:val="20"/>
                <w:lang w:val="fr-FR"/>
              </w:rPr>
              <w:t>: sh.mak@mail.ru</w:t>
            </w:r>
            <w:r>
              <w:rPr>
                <w:rStyle w:val="10"/>
                <w:color w:val="auto"/>
                <w:sz w:val="20"/>
                <w:szCs w:val="20"/>
                <w:lang w:val="fr-FR"/>
              </w:rPr>
              <w:t xml:space="preserve"> </w:t>
            </w:r>
            <w:r>
              <w:rPr>
                <w:rStyle w:val="10"/>
                <w:color w:val="auto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432" w:type="dxa"/>
            <w:gridSpan w:val="2"/>
            <w:vMerge w:val="continue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rStyle w:val="11"/>
                <w:b w:val="0"/>
                <w:sz w:val="20"/>
                <w:szCs w:val="20"/>
                <w:lang w:val="kk-KZ"/>
              </w:rPr>
              <w:t>3773330 (внут. 13-23)</w:t>
            </w:r>
          </w:p>
        </w:tc>
        <w:tc>
          <w:tcPr>
            <w:tcW w:w="8432" w:type="dxa"/>
            <w:gridSpan w:val="2"/>
            <w:vMerge w:val="continue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Ассистент</w:t>
            </w:r>
            <w:r>
              <w:rPr>
                <w:b/>
                <w:sz w:val="20"/>
                <w:szCs w:val="20"/>
                <w:lang w:val="kk-KZ"/>
              </w:rPr>
              <w:t xml:space="preserve">- </w:t>
            </w:r>
            <w:r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104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jc w:val="both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Айтжанова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Гульнар Досхожаевна</w:t>
            </w:r>
          </w:p>
        </w:tc>
        <w:tc>
          <w:tcPr>
            <w:tcW w:w="8432" w:type="dxa"/>
            <w:gridSpan w:val="2"/>
            <w:vMerge w:val="continue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e-mail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432" w:type="dxa"/>
            <w:gridSpan w:val="2"/>
            <w:vMerge w:val="continue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jc w:val="both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Style w:val="11"/>
                <w:b w:val="0"/>
                <w:sz w:val="20"/>
                <w:szCs w:val="20"/>
                <w:lang w:val="kk-KZ"/>
              </w:rPr>
              <w:t>3773330 (внут. 13-23</w:t>
            </w:r>
            <w:r>
              <w:rPr>
                <w:rStyle w:val="11"/>
                <w:rFonts w:hint="default"/>
                <w:b w:val="0"/>
                <w:sz w:val="20"/>
                <w:szCs w:val="20"/>
                <w:lang w:val="ru-RU"/>
              </w:rPr>
              <w:t>)</w:t>
            </w:r>
          </w:p>
        </w:tc>
        <w:tc>
          <w:tcPr>
            <w:tcW w:w="8432" w:type="dxa"/>
            <w:gridSpan w:val="2"/>
            <w:vMerge w:val="continue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09" w:hRule="atLeast"/>
        </w:trPr>
        <w:tc>
          <w:tcPr>
            <w:tcW w:w="15237" w:type="dxa"/>
            <w:gridSpan w:val="8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BE5F1" w:themeFill="accent1" w:themeFillTint="33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АКАДЕМИЧЕСКАЯ ПРЕЗЕНТАЦИЯ ДИСЦИПЛИНЫ</w:t>
            </w:r>
          </w:p>
          <w:p>
            <w:pPr>
              <w:rPr>
                <w:color w:val="FF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1701" w:type="dxa"/>
            <w:shd w:val="clear" w:color="auto" w:fill="auto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Ожидаемые результаты обучения (РО)</w:t>
            </w:r>
            <w:r>
              <w:rPr>
                <w:b/>
                <w:sz w:val="20"/>
                <w:szCs w:val="20"/>
                <w:lang w:val="kk-KZ"/>
              </w:rPr>
              <w:t>*</w:t>
            </w:r>
            <w:r>
              <w:rPr>
                <w:sz w:val="20"/>
                <w:szCs w:val="20"/>
              </w:rPr>
              <w:t xml:space="preserve"> </w:t>
            </w:r>
          </w:p>
          <w:p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8432" w:type="dxa"/>
            <w:gridSpan w:val="2"/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rStyle w:val="44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894" w:hRule="atLeast"/>
        </w:trPr>
        <w:tc>
          <w:tcPr>
            <w:tcW w:w="1701" w:type="dxa"/>
            <w:vMerge w:val="restart"/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 xml:space="preserve">Цель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дисциплины: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дальнейшее развитие иноязычной коммуникативной компетенции в , а именно: совокупности еѐ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составляющихречевая компетенция — развитие коммуникативных умений в четырѐх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основных видах речевой деятельности (говорении, аудировании, чтении, письме);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языковая компетенция — овладение новыми языковыми средствами (фонетическими,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орфографическими, лексическими, грамматическими) в соответствии с темами, сферами и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ситуациями общения, отобранными для данного уровня обучения; освоение знаний о языковых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явлениях изучаемого языка, разных способах выражения мысли в родном и изучаемом языках;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речевая (дискурсивная) компетенция, т.е. умение понимать высказывание в значимых смысловых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блоках, планировать речевое поведение и передавать информацию в связных, логичных,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аргументированных высказываниях;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социокультурная/межкультурная компетенция — приобщение учащихся к культуре, традициям и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реалиям стран изучаемого иностранного языка в рамках тем, сфер и ситуаций общения,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отвечающих опыту, интересам, психологическим особенностям учащихся уровня </w:t>
            </w:r>
          </w:p>
          <w:p>
            <w:pPr>
              <w:jc w:val="both"/>
              <w:rPr>
                <w:b/>
                <w:sz w:val="18"/>
                <w:szCs w:val="18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 xml:space="preserve"> сф </w:t>
            </w:r>
          </w:p>
        </w:tc>
        <w:tc>
          <w:tcPr>
            <w:tcW w:w="5104" w:type="dxa"/>
            <w:gridSpan w:val="5"/>
            <w:vMerge w:val="restart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ru-RU" w:eastAsia="zh-CN" w:bidi="ar"/>
              </w:rPr>
              <w:t>-</w:t>
            </w:r>
            <w:r>
              <w:rPr>
                <w:rFonts w:hint="default" w:eastAsia="SimSun" w:cs="Times New Roman"/>
                <w:color w:val="000000"/>
                <w:kern w:val="0"/>
                <w:sz w:val="22"/>
                <w:szCs w:val="22"/>
                <w:lang w:val="ru-RU"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осв</w:t>
            </w:r>
            <w:r>
              <w:rPr>
                <w:rFonts w:hint="default" w:eastAsia="SimSun" w:cs="Times New Roman"/>
                <w:color w:val="000000"/>
                <w:kern w:val="0"/>
                <w:sz w:val="22"/>
                <w:szCs w:val="22"/>
                <w:lang w:val="ru-RU" w:eastAsia="zh-CN" w:bidi="ar"/>
              </w:rPr>
              <w:t>о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ить новые языковые средства в соответствии c темами, сферами и ситуациями общения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ru-RU" w:eastAsia="zh-CN" w:bidi="ar"/>
              </w:rPr>
              <w:t>;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ru-RU" w:eastAsia="zh-CN" w:bidi="ar"/>
              </w:rPr>
              <w:t>-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приобщать  умения представлять свою страну, еѐ культуру в условиях межкультурного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общения;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ru-RU" w:eastAsia="zh-CN" w:bidi="ar"/>
              </w:rPr>
              <w:t>-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формировать у учащихся потребность в изучении иностранных языков и в овладении ими как средством общения, познания, самореализации и социальной адаптации в поликультурном мире;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ru-RU"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ru-RU" w:eastAsia="zh-CN" w:bidi="ar"/>
              </w:rPr>
              <w:t>-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формировать у учащихся общекультурную и этническую идентичность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ru-RU" w:eastAsia="zh-CN" w:bidi="ar"/>
              </w:rPr>
              <w:t>;</w:t>
            </w:r>
          </w:p>
          <w:p>
            <w:pPr>
              <w:pStyle w:val="41"/>
              <w:numPr>
                <w:ilvl w:val="0"/>
                <w:numId w:val="0"/>
              </w:numPr>
              <w:rPr>
                <w:rFonts w:ascii="Times New Roman" w:hAnsi="Times New Roman" w:eastAsia="Times New Roman" w:cs="Times New Roman"/>
                <w:color w:val="FF0000"/>
                <w:sz w:val="22"/>
                <w:szCs w:val="22"/>
                <w:lang w:val="kk-KZ" w:eastAsia="en-US" w:bidi="ar-SA"/>
              </w:rPr>
            </w:pPr>
          </w:p>
        </w:tc>
        <w:tc>
          <w:tcPr>
            <w:tcW w:w="8432" w:type="dxa"/>
            <w:gridSpan w:val="2"/>
            <w:vMerge w:val="restart"/>
            <w:tcBorders>
              <w:bottom w:val="nil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ru-RU" w:eastAsia="zh-CN" w:bidi="ar"/>
              </w:rPr>
              <w:t>П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о ок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ru-RU" w:eastAsia="zh-CN" w:bidi="ar"/>
              </w:rPr>
              <w:t>ончании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обучающийся должен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Знать/понимать: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ru-RU" w:eastAsia="zh-CN" w:bidi="ar"/>
              </w:rPr>
              <w:t>-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основные значения изученных лексических единиц (слов, словосочетаний); основные способы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словбенности структуры простых и сложных предложений изучаемого иносообразования (аффиксация, словосложение, конверсия);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ru-RU" w:eastAsia="zh-CN" w:bidi="ar"/>
              </w:rPr>
              <w:t>-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осотранного языка;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интонацию различных коммуникативных типов предложений;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ru-RU" w:eastAsia="zh-CN" w:bidi="ar"/>
              </w:rPr>
              <w:t>-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признаки изученных грамматических явлений</w:t>
            </w:r>
          </w:p>
          <w:p>
            <w:pPr>
              <w:pStyle w:val="41"/>
              <w:numPr>
                <w:ilvl w:val="0"/>
                <w:numId w:val="0"/>
              </w:numPr>
              <w:rPr>
                <w:color w:val="FF0000"/>
                <w:sz w:val="22"/>
                <w:szCs w:val="22"/>
                <w:lang w:val="kk-KZ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hint="default"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Уметь: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Говорение: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hint="default" w:ascii="Symbol" w:hAnsi="Symbol" w:eastAsia="SimSun" w:cs="Symbol"/>
                <w:color w:val="000000"/>
                <w:kern w:val="0"/>
                <w:sz w:val="21"/>
                <w:szCs w:val="21"/>
                <w:lang w:val="ru-RU" w:eastAsia="zh-CN" w:bidi="ar"/>
              </w:rPr>
              <w:t>-</w:t>
            </w:r>
            <w:r>
              <w:rPr>
                <w:rFonts w:ascii="Symbol" w:hAnsi="Symbol" w:eastAsia="SimSun" w:cs="Symbol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начинать, вести/поддерживать и заканчивать беседу в стандартных ситуациях общения,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соблюдая нормы речевого этикета, при необходимости переспрашивая, уточняя;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1"/>
                <w:szCs w:val="21"/>
                <w:lang w:val="ru-RU" w:eastAsia="zh-CN" w:bidi="ar"/>
              </w:rPr>
              <w:t>-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расспрашивать собеседника и отвечать на его вопросы, высказывая своѐ мнение, просьбу,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отвечать на предложение собеседника согласием/отказом, опираясь на изученную тематику и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усвоенный лексико-грамматический материал;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1"/>
                <w:szCs w:val="21"/>
                <w:lang w:val="ru-RU" w:eastAsia="zh-CN" w:bidi="ar"/>
              </w:rPr>
              <w:t>-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рассказывать о себе, своей семье, друзьях, своих интересах и планах на будущее, сообщать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краткие сведения о своем городе/селе, о своей стране и стране изучаемого языка;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1"/>
                <w:szCs w:val="21"/>
                <w:lang w:val="ru-RU" w:eastAsia="zh-CN" w:bidi="ar"/>
              </w:rPr>
              <w:t>-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делать краткие сообщения, описывать события/явления (в рамках пройденных тем),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передавать основное содержание, основную мысль прочитанного или услышанного, выражать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свое отношение к прочитанному/услышанному, давать краткую характеристику персонажей;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ru-RU" w:eastAsia="zh-CN" w:bidi="ar"/>
              </w:rPr>
              <w:t xml:space="preserve">-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повествовать о событиях, явлениях, фактах;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ru-RU" w:eastAsia="zh-CN" w:bidi="ar"/>
              </w:rPr>
              <w:t>-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участвовать в беседе, дискуссии, выражать своѐ отношение к обсуждаемой проблеме;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ru-RU" w:eastAsia="zh-CN" w:bidi="ar"/>
              </w:rPr>
              <w:t>-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использовать перифраз, синонимичные средства в процессе устного общения;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Диалогическая речь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ru-RU" w:eastAsia="zh-CN" w:bidi="ar"/>
              </w:rPr>
              <w:t xml:space="preserve">-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уметь вести диалоги этикетного характера, диалог-расспрос, диалог- побуждение к действию,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ru-RU" w:eastAsia="zh-CN" w:bidi="ar"/>
              </w:rPr>
              <w:t xml:space="preserve">-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диалог-обмен мнениями и комбинированные диалоги. Объѐм диалога 7-9 реплик со стороны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каждого учащегося. Продолжительность диалога 2—3минуты . </w:t>
            </w:r>
          </w:p>
          <w:p>
            <w:pPr>
              <w:keepNext w:val="0"/>
              <w:keepLines w:val="0"/>
              <w:widowControl/>
              <w:suppressLineNumbers w:val="0"/>
              <w:ind w:firstLine="110" w:firstLineChars="50"/>
              <w:jc w:val="left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Монологическая речь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Продуцировать связные высказывания с использованием основных коммуникативных типов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речи: описание, сообщение, рассказ (включающий эмоционально-оценочное суждение),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рассуждение (характеристика) с высказыванием своего мнения и краткой аргументацией с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опорой и без опоры на прочитанный или услышанный текст или заданную коммуникативную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ситуацию. Объѐм монологического высказывания до 12— 15 фраз. Продолжительность монолога </w:t>
            </w:r>
            <w:r>
              <w:rPr>
                <w:rFonts w:hint="default" w:eastAsia="SimSun" w:cs="Times New Roman"/>
                <w:color w:val="000000"/>
                <w:kern w:val="0"/>
                <w:sz w:val="22"/>
                <w:szCs w:val="22"/>
                <w:lang w:val="ru-RU" w:eastAsia="zh-CN" w:bidi="ar"/>
              </w:rPr>
              <w:t xml:space="preserve">  3 минуты                                                                           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Аудирование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ru-RU" w:eastAsia="zh-CN" w:bidi="ar"/>
              </w:rPr>
              <w:t>-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понимать основное содержание кратких, несложных аутентичных прагматических текстов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(прогноз погоды, программы теле-/радиопередач, объявления на вокзале/в аэропорту) и выделять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для себя значимую информацию;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ru-RU" w:eastAsia="zh-CN" w:bidi="ar"/>
              </w:rPr>
              <w:t>-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понимать основное содержание несложных аутентичных текстов, относящихся к разным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коммуникативным типам речи (сообщение/рассказ), уметь определить тему текста, выделить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главные факты в тексте, опуская второстепенные;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ru-RU" w:eastAsia="zh-CN" w:bidi="ar"/>
              </w:rPr>
              <w:t>-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понимать основное содержание аудио и видеотекстов теле- и радиопередач на актуальные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темы;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ru-RU" w:eastAsia="zh-CN" w:bidi="ar"/>
              </w:rPr>
              <w:t xml:space="preserve">-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определять и устанавливать последовательность фактов;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ru-RU" w:eastAsia="zh-CN" w:bidi="ar"/>
              </w:rPr>
              <w:t>-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устанавливать причинно-следственные связи;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ru-RU" w:eastAsia="zh-CN" w:bidi="ar"/>
              </w:rPr>
              <w:t>-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ru-RU"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использовать переспрос, просьбу повторить;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lang w:val="ru-RU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Чтение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ru-RU" w:eastAsia="zh-CN" w:bidi="ar"/>
              </w:rPr>
              <w:t>-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определять тему, выделять основную мысль, выделять главные факты, опуская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второстепенные, устанавливать логическую последовательность основных фактов текста;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ru-RU" w:eastAsia="zh-CN" w:bidi="ar"/>
              </w:rPr>
              <w:t xml:space="preserve">-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читать несложные аутентичные тексты разных жанров с полным и точным пониманием,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используя различные приемы смысловой переработки текста (языковую догадку, анализ,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выборочный перевод), оценивать полученную информацию, выражать свое мнение;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ru-RU" w:eastAsia="zh-CN" w:bidi="ar"/>
              </w:rPr>
              <w:t>-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понимать причинно-следственные связи законченных отрывков текста;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ru-RU" w:eastAsia="zh-CN" w:bidi="ar"/>
              </w:rPr>
              <w:t>-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комментировать/объяснять те или иные факты, описанные в тексте;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ru-RU" w:eastAsia="zh-CN" w:bidi="ar"/>
              </w:rPr>
              <w:t>-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делать заключения и выводы из прочитанного текста;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ru-RU" w:eastAsia="zh-CN" w:bidi="ar"/>
              </w:rPr>
              <w:t>-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читать текст с выборочным пониманием нужной или интересующей информации.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i/>
                <w:i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Чтение с пониманием основного содержания текста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осуществляется на несложных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аутентичных материалах с ориентацией на выделенное предметное содержание, включающих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некоторое количество незнакомых слов. Объѐм текста для чтения — 700—800 слов.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i/>
                <w:i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Чтение с выборочным пониманием нужной или интересующей информации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предполагает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умение просмотреть текст или несколько коротких текстов и выбрать информацию, которая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необходима или представляет интерес для учащихся. Объѐм текста для чтения — около 400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ru-RU" w:eastAsia="zh-CN" w:bidi="ar"/>
              </w:rPr>
              <w:t>слов</w:t>
            </w:r>
          </w:p>
          <w:p>
            <w:pPr>
              <w:jc w:val="both"/>
              <w:rPr>
                <w:rFonts w:hint="default"/>
                <w:sz w:val="20"/>
                <w:szCs w:val="20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4776" w:hRule="atLeast"/>
        </w:trPr>
        <w:tc>
          <w:tcPr>
            <w:tcW w:w="1701" w:type="dxa"/>
            <w:vMerge w:val="continue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ru-RU" w:eastAsia="zh-CN" w:bidi="ar"/>
              </w:rPr>
              <w:t xml:space="preserve">-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осваивать новые языковые средства в соответствии c темами, сферами и ситуациями общения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ru-RU" w:eastAsia="zh-CN" w:bidi="ar"/>
              </w:rPr>
              <w:t>;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ru-RU" w:eastAsia="zh-CN" w:bidi="ar"/>
              </w:rPr>
              <w:t>-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приобщать учащихся к культуре, традициям и реалиям стран изуча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ru-RU" w:eastAsia="zh-CN" w:bidi="ar"/>
              </w:rPr>
              <w:t>е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мого иностранного языка;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ru-RU" w:eastAsia="zh-CN" w:bidi="ar"/>
              </w:rPr>
              <w:t>-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формировать умения представлять свою страну, еѐ культуру в условиях межкультурного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общения;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ru-RU" w:eastAsia="zh-CN" w:bidi="ar"/>
              </w:rPr>
              <w:t>-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формировать у учащихся потребность в изучении иностранных языков и в овладении ими как средством общения, познания, самореализации и социальной адаптации в поликультурном мире;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ru-RU"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ru-RU" w:eastAsia="zh-CN" w:bidi="ar"/>
              </w:rPr>
              <w:t>-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формировать у учащихся общекультурную и этническую идентичность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ru-RU" w:eastAsia="zh-CN" w:bidi="ar"/>
              </w:rPr>
              <w:t>;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</w:p>
          <w:p>
            <w:pPr>
              <w:jc w:val="both"/>
              <w:rPr>
                <w:rFonts w:hint="default"/>
                <w:sz w:val="22"/>
                <w:szCs w:val="22"/>
                <w:lang w:val="ru-RU"/>
              </w:rPr>
            </w:pPr>
          </w:p>
        </w:tc>
        <w:tc>
          <w:tcPr>
            <w:tcW w:w="8432" w:type="dxa"/>
            <w:gridSpan w:val="2"/>
            <w:vMerge w:val="continue"/>
            <w:shd w:val="clear" w:color="auto" w:fill="auto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rFonts w:hint="default"/>
                <w:color w:val="000000"/>
                <w:sz w:val="20"/>
                <w:szCs w:val="20"/>
                <w:lang w:val="ru-RU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84" w:hRule="atLeast"/>
        </w:trPr>
        <w:tc>
          <w:tcPr>
            <w:tcW w:w="1701" w:type="dxa"/>
            <w:vMerge w:val="continue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 xml:space="preserve">-  знакомить с приемами  познания иноязычной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культур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ru-RU" w:eastAsia="zh-CN" w:bidi="ar"/>
              </w:rPr>
              <w:t>ы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, в том числе с использованием новых информационных технологий;</w:t>
            </w:r>
          </w:p>
          <w:p>
            <w:pPr>
              <w:jc w:val="both"/>
              <w:rPr>
                <w:rFonts w:hint="default"/>
                <w:sz w:val="22"/>
                <w:szCs w:val="22"/>
                <w:lang w:val="ru-RU"/>
              </w:rPr>
            </w:pPr>
          </w:p>
        </w:tc>
        <w:tc>
          <w:tcPr>
            <w:tcW w:w="8432" w:type="dxa"/>
            <w:gridSpan w:val="2"/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Письменная речь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ru-RU" w:eastAsia="zh-CN" w:bidi="ar"/>
              </w:rPr>
              <w:t>-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заполнять анкеты и формуляры;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ru-RU" w:eastAsia="zh-CN" w:bidi="ar"/>
              </w:rPr>
              <w:t>-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писать поздравления с днѐм рождения и другими праздниками, выражать пожелания (объѐмом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40-50 слов, включая адрес);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ru-RU" w:eastAsia="zh-CN" w:bidi="ar"/>
              </w:rPr>
              <w:t>-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писать личные письма с опорой на образец и без опоры: расспрашивать адресата о его жизни и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делах, сообщать то же о себе, выражать благодарность, просьбу, употребляя формулы речевого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этикета, принятые в странах изучаемого языка Объѐм личного письма около 110 слов, включая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адрес;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ru-RU" w:eastAsia="zh-CN" w:bidi="ar"/>
              </w:rPr>
              <w:t>-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уметь рассказывать в личном письме об отдельных фактах/событиях своей жизни, выражая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свои чувства;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ru-RU" w:eastAsia="zh-CN" w:bidi="ar"/>
              </w:rPr>
              <w:t xml:space="preserve">-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писать краткую инструкцию, объяснение, как пройти, проехать, как приготовить еду, включить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аппаратуру;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rFonts w:hint="default"/>
                <w:color w:val="000000"/>
                <w:sz w:val="22"/>
                <w:szCs w:val="22"/>
                <w:lang w:val="ru-RU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12" w:hRule="atLeast"/>
        </w:trPr>
        <w:tc>
          <w:tcPr>
            <w:tcW w:w="1701" w:type="dxa"/>
            <w:vMerge w:val="continue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  <w:gridSpan w:val="5"/>
            <w:vMerge w:val="continue"/>
          </w:tcPr>
          <w:p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432" w:type="dxa"/>
            <w:gridSpan w:val="2"/>
            <w:vMerge w:val="restart"/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ru-RU" w:eastAsia="zh-CN" w:bidi="ar"/>
              </w:rPr>
              <w:t>И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спользовать приобретенные знания и умения в практической деятельности и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ru-RU"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повседневной жизни для: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ru-RU" w:eastAsia="zh-CN" w:bidi="ar"/>
              </w:rPr>
              <w:t>-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социальной адаптации; достижения взаимопонимания в процессе устного и письменного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общения с носителями иностранного языка, установления межличностных и межкультурных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контактов в доступных пределах;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ru-RU" w:eastAsia="zh-CN" w:bidi="ar"/>
              </w:rPr>
              <w:t>-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создания целостной картины полиязычного, поликультурного мира, осознания места и роли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родного и изучаемого иностранного языка в этом мире;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ru-RU" w:eastAsia="zh-CN" w:bidi="ar"/>
              </w:rPr>
              <w:t>-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приобщения к ценностям мировой культуры как через иноязычные источники информац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ии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ru-RU" w:eastAsia="zh-CN" w:bidi="ar"/>
              </w:rPr>
              <w:t>.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rFonts w:hint="default"/>
                <w:color w:val="000000"/>
                <w:sz w:val="22"/>
                <w:szCs w:val="22"/>
                <w:lang w:val="ru-RU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12" w:hRule="atLeast"/>
        </w:trPr>
        <w:tc>
          <w:tcPr>
            <w:tcW w:w="1701" w:type="dxa"/>
            <w:vMerge w:val="continue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>
            <w:pPr>
              <w:jc w:val="both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 xml:space="preserve">- </w:t>
            </w:r>
            <w:r>
              <w:rPr>
                <w:sz w:val="22"/>
                <w:szCs w:val="22"/>
                <w:lang w:val="ru-RU"/>
              </w:rPr>
              <w:t>и</w:t>
            </w:r>
            <w:r>
              <w:rPr>
                <w:sz w:val="22"/>
                <w:szCs w:val="22"/>
              </w:rPr>
              <w:t xml:space="preserve">меть  навыки письменной речи ,соответствующим уровням </w:t>
            </w:r>
            <w:r>
              <w:rPr>
                <w:sz w:val="22"/>
                <w:szCs w:val="22"/>
                <w:lang w:val="ru-RU"/>
              </w:rPr>
              <w:t>В</w:t>
            </w:r>
            <w:r>
              <w:rPr>
                <w:rFonts w:hint="default"/>
                <w:sz w:val="22"/>
                <w:szCs w:val="22"/>
                <w:lang w:val="ru-RU"/>
              </w:rPr>
              <w:t>1,В2</w:t>
            </w:r>
          </w:p>
        </w:tc>
        <w:tc>
          <w:tcPr>
            <w:tcW w:w="8432" w:type="dxa"/>
            <w:gridSpan w:val="2"/>
            <w:vMerge w:val="continue"/>
            <w:shd w:val="clear" w:color="auto" w:fill="auto"/>
          </w:tcPr>
          <w:p>
            <w:pPr>
              <w:jc w:val="both"/>
              <w:rPr>
                <w:rFonts w:hint="default"/>
                <w:sz w:val="22"/>
                <w:szCs w:val="22"/>
                <w:lang w:val="ru-RU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438" w:hRule="atLeast"/>
        </w:trPr>
        <w:tc>
          <w:tcPr>
            <w:tcW w:w="1701" w:type="dxa"/>
            <w:vMerge w:val="continue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104" w:type="dxa"/>
            <w:gridSpan w:val="5"/>
            <w:shd w:val="clear" w:color="auto" w:fill="auto"/>
          </w:tcPr>
          <w:p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432" w:type="dxa"/>
            <w:gridSpan w:val="2"/>
            <w:vMerge w:val="continue"/>
            <w:shd w:val="clear" w:color="auto" w:fill="auto"/>
          </w:tcPr>
          <w:p>
            <w:pPr>
              <w:jc w:val="both"/>
              <w:rPr>
                <w:rFonts w:hint="default"/>
                <w:sz w:val="20"/>
                <w:szCs w:val="20"/>
                <w:lang w:val="ru-RU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88" w:hRule="atLeast"/>
        </w:trPr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13536" w:type="dxa"/>
            <w:gridSpan w:val="7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Основы базового иностранного языка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88" w:hRule="atLeast"/>
        </w:trPr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13536" w:type="dxa"/>
            <w:gridSpan w:val="7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Экзамен,тестовые зад</w:t>
            </w:r>
            <w:r>
              <w:rPr>
                <w:sz w:val="20"/>
                <w:szCs w:val="20"/>
                <w:lang w:val="ru-RU"/>
              </w:rPr>
              <w:t>ания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</w:rPr>
              <w:t>междунар</w:t>
            </w:r>
            <w:r>
              <w:rPr>
                <w:sz w:val="20"/>
                <w:szCs w:val="20"/>
                <w:lang w:val="ru-RU"/>
              </w:rPr>
              <w:t>о</w:t>
            </w:r>
            <w:r>
              <w:rPr>
                <w:sz w:val="20"/>
                <w:szCs w:val="20"/>
              </w:rPr>
              <w:t xml:space="preserve">дного уровня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13536" w:type="dxa"/>
            <w:gridSpan w:val="7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Литература: 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  <w:t>сновная, дополнительная.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  <w:p>
            <w:pPr>
              <w:pStyle w:val="41"/>
              <w:widowControl w:val="0"/>
              <w:numPr>
                <w:ilvl w:val="0"/>
                <w:numId w:val="1"/>
              </w:numPr>
              <w:tabs>
                <w:tab w:val="left" w:pos="317"/>
                <w:tab w:val="left" w:pos="1093"/>
              </w:tabs>
              <w:autoSpaceDE w:val="0"/>
              <w:autoSpaceDN w:val="0"/>
              <w:spacing w:after="0" w:line="240" w:lineRule="auto"/>
              <w:ind w:left="240" w:leftChars="0" w:firstLine="0" w:firstLineChars="0"/>
              <w:contextualSpacing w:val="0"/>
              <w:rPr>
                <w:rFonts w:ascii="Times New Roman" w:hAnsi="Times New Roman"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Попова</w:t>
            </w:r>
            <w:r>
              <w:rPr>
                <w:rFonts w:ascii="Times New Roman" w:hAnsi="Times New Roman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  <w:lang w:val="fr-FR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fr-FR"/>
              </w:rPr>
              <w:t>.,</w:t>
            </w:r>
            <w:r>
              <w:rPr>
                <w:rFonts w:ascii="Times New Roman" w:hAnsi="Times New Roman"/>
                <w:sz w:val="20"/>
                <w:szCs w:val="20"/>
              </w:rPr>
              <w:t>Казакова</w:t>
            </w:r>
            <w:r>
              <w:rPr>
                <w:rFonts w:ascii="Times New Roman" w:hAnsi="Times New Roman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  <w:lang w:val="fr-FR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sz w:val="20"/>
                <w:szCs w:val="20"/>
                <w:lang w:val="fr-FR"/>
              </w:rPr>
              <w:t>. Manuel de francais M.:20</w:t>
            </w: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>20</w:t>
            </w:r>
          </w:p>
          <w:p>
            <w:pPr>
              <w:pStyle w:val="41"/>
              <w:widowControl w:val="0"/>
              <w:numPr>
                <w:ilvl w:val="0"/>
                <w:numId w:val="1"/>
              </w:numPr>
              <w:tabs>
                <w:tab w:val="left" w:pos="317"/>
                <w:tab w:val="left" w:pos="1093"/>
              </w:tabs>
              <w:autoSpaceDE w:val="0"/>
              <w:autoSpaceDN w:val="0"/>
              <w:spacing w:after="0" w:line="240" w:lineRule="auto"/>
              <w:ind w:left="240" w:leftChars="0" w:firstLine="0" w:firstLineChars="0"/>
              <w:contextualSpacing w:val="0"/>
              <w:rPr>
                <w:rFonts w:ascii="Times New Roman" w:hAnsi="Times New Roman"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sz w:val="20"/>
                <w:szCs w:val="20"/>
                <w:lang w:val="fr-FR"/>
              </w:rPr>
              <w:t>Auge H., P.Martin Tout va bien 2015</w:t>
            </w:r>
          </w:p>
          <w:p>
            <w:pPr>
              <w:pStyle w:val="41"/>
              <w:widowControl w:val="0"/>
              <w:numPr>
                <w:ilvl w:val="0"/>
                <w:numId w:val="1"/>
              </w:numPr>
              <w:tabs>
                <w:tab w:val="left" w:pos="317"/>
                <w:tab w:val="left" w:pos="1093"/>
              </w:tabs>
              <w:autoSpaceDE w:val="0"/>
              <w:autoSpaceDN w:val="0"/>
              <w:spacing w:after="0" w:line="240" w:lineRule="auto"/>
              <w:ind w:left="240" w:leftChars="0" w:firstLine="0" w:firstLineChars="0"/>
              <w:contextualSpacing w:val="0"/>
              <w:rPr>
                <w:rFonts w:ascii="Times New Roman" w:hAnsi="Times New Roman"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sz w:val="20"/>
                <w:szCs w:val="20"/>
                <w:lang w:val="fr-FR"/>
              </w:rPr>
              <w:t>Comprehension orale A-C.Motron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fr-FR"/>
              </w:rPr>
              <w:t>-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fr-FR"/>
              </w:rPr>
              <w:t>464 p.Cle international, 201</w:t>
            </w:r>
            <w:r>
              <w:rPr>
                <w:rFonts w:hint="default"/>
                <w:sz w:val="20"/>
                <w:szCs w:val="20"/>
                <w:lang w:val="ru-RU"/>
              </w:rPr>
              <w:t>5</w:t>
            </w:r>
          </w:p>
          <w:p>
            <w:pPr>
              <w:pStyle w:val="41"/>
              <w:widowControl w:val="0"/>
              <w:numPr>
                <w:ilvl w:val="0"/>
                <w:numId w:val="1"/>
              </w:numPr>
              <w:tabs>
                <w:tab w:val="left" w:pos="317"/>
                <w:tab w:val="left" w:pos="1093"/>
              </w:tabs>
              <w:autoSpaceDE w:val="0"/>
              <w:autoSpaceDN w:val="0"/>
              <w:spacing w:after="0" w:line="240" w:lineRule="auto"/>
              <w:ind w:left="240" w:leftChars="0" w:firstLine="0" w:firstLineChars="0"/>
              <w:contextualSpacing w:val="0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Никольская И.Б.,Гольденберг Грамматика французского языка С-П 2</w:t>
            </w:r>
            <w:r>
              <w:rPr>
                <w:rFonts w:hint="default"/>
                <w:sz w:val="20"/>
                <w:szCs w:val="20"/>
                <w:lang w:val="ru-RU"/>
              </w:rPr>
              <w:t>016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color w:val="000000"/>
                <w:sz w:val="20"/>
                <w:szCs w:val="20"/>
              </w:rPr>
            </w:pPr>
          </w:p>
          <w:p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  <w:t>Исследовательская инфраструктура</w:t>
            </w:r>
          </w:p>
          <w:p>
            <w:pPr>
              <w:numPr>
                <w:ilvl w:val="0"/>
                <w:numId w:val="2"/>
              </w:numPr>
              <w:rPr>
                <w:rFonts w:hint="default"/>
                <w:color w:val="000000" w:themeColor="text1"/>
                <w:sz w:val="20"/>
                <w:szCs w:val="20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ru-RU"/>
                <w14:textFill>
                  <w14:solidFill>
                    <w14:schemeClr w14:val="tx1"/>
                  </w14:solidFill>
                </w14:textFill>
              </w:rPr>
              <w:t>Филологический факультет , кабинет синхронного перевода №306</w:t>
            </w:r>
          </w:p>
          <w:p>
            <w:pPr>
              <w:rPr>
                <w:rFonts w:hint="default"/>
                <w:color w:val="000000" w:themeColor="text1"/>
                <w:sz w:val="20"/>
                <w:szCs w:val="20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  <w:p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Профессиональные научные базы данных </w:t>
            </w:r>
          </w:p>
          <w:p>
            <w:pPr>
              <w:rPr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  <w:t>1.</w:t>
            </w:r>
          </w:p>
          <w:p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Style w:val="10"/>
                <w:rFonts w:hint="default"/>
                <w:sz w:val="20"/>
                <w:szCs w:val="20"/>
                <w:shd w:val="clear" w:color="auto" w:fill="FFFFFF"/>
                <w:lang w:val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Интернет-ре</w:t>
            </w:r>
            <w:r>
              <w:rPr>
                <w:b/>
                <w:bCs/>
                <w:color w:val="000000"/>
                <w:sz w:val="20"/>
                <w:szCs w:val="20"/>
                <w:lang w:val="ru-RU"/>
              </w:rPr>
              <w:t>сурсы</w:t>
            </w:r>
          </w:p>
          <w:p>
            <w:pPr>
              <w:widowControl w:val="0"/>
              <w:tabs>
                <w:tab w:val="left" w:pos="317"/>
                <w:tab w:val="left" w:pos="1093"/>
              </w:tabs>
              <w:autoSpaceDE w:val="0"/>
              <w:autoSpaceDN w:val="0"/>
              <w:spacing w:line="272" w:lineRule="exact"/>
              <w:ind w:left="1534" w:leftChars="14" w:hanging="1500" w:hangingChars="750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1</w:t>
            </w:r>
            <w:r>
              <w:rPr>
                <w:sz w:val="20"/>
                <w:szCs w:val="20"/>
                <w:lang w:val="fr-FR"/>
              </w:rPr>
              <w:t>.https://Enseigner le francais avec TV 5Monde com.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 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color w:val="000000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 xml:space="preserve">2. </w:t>
            </w:r>
            <w:r>
              <w:rPr>
                <w:sz w:val="20"/>
                <w:szCs w:val="20"/>
                <w:lang w:val="fr-FR"/>
              </w:rPr>
              <w:t>https</w:t>
            </w:r>
            <w:r>
              <w:rPr>
                <w:sz w:val="20"/>
                <w:szCs w:val="20"/>
              </w:rPr>
              <w:t>://</w:t>
            </w:r>
            <w:r>
              <w:rPr>
                <w:sz w:val="20"/>
                <w:szCs w:val="20"/>
                <w:lang w:val="fr-FR"/>
              </w:rPr>
              <w:t>bonjourdefrance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fr-FR"/>
              </w:rPr>
              <w:t>com</w:t>
            </w:r>
          </w:p>
          <w:p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  <w:t>Пр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ru-RU"/>
                <w14:textFill>
                  <w14:solidFill>
                    <w14:schemeClr w14:val="tx1"/>
                  </w14:solidFill>
                </w14:textFill>
              </w:rPr>
              <w:t>о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  <w:t>граммное обеспечение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1.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2.</w:t>
            </w:r>
          </w:p>
        </w:tc>
      </w:tr>
    </w:tbl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76" w:lineRule="auto"/>
        <w:rPr>
          <w:color w:val="000000"/>
          <w:sz w:val="20"/>
          <w:szCs w:val="20"/>
        </w:rPr>
      </w:pPr>
    </w:p>
    <w:tbl>
      <w:tblPr>
        <w:tblStyle w:val="9"/>
        <w:tblW w:w="19278" w:type="dxa"/>
        <w:tblInd w:w="-85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851"/>
        <w:gridCol w:w="851"/>
        <w:gridCol w:w="283"/>
        <w:gridCol w:w="1134"/>
        <w:gridCol w:w="1843"/>
        <w:gridCol w:w="3260"/>
        <w:gridCol w:w="5650"/>
        <w:gridCol w:w="540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5519" w:hRule="atLeast"/>
        </w:trPr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121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r>
              <w:fldChar w:fldCharType="begin"/>
            </w:r>
            <w:r>
              <w:instrText xml:space="preserve"> HYPERLINK "https://univer.kaznu.kz/Content/instructions/%D0%90%D0%BA%D0%B0%D0%B4%D0%B5%D0%BC%D0%B8%D1%87%D0%B5%D1%81%D0%BA%D0%B0%D1%8F%20%D0%BF%D0%BE%D0%BB%D0%B8%D1%82%D0%B8%D0%BA%D0%B0.pdf" </w:instrText>
            </w:r>
            <w:r>
              <w:fldChar w:fldCharType="separate"/>
            </w:r>
            <w:r>
              <w:rPr>
                <w:rStyle w:val="10"/>
                <w:sz w:val="20"/>
                <w:szCs w:val="20"/>
                <w:u w:val="single"/>
              </w:rPr>
              <w:t>Академической политикой</w:t>
            </w:r>
            <w:r>
              <w:rPr>
                <w:rStyle w:val="10"/>
                <w:sz w:val="20"/>
                <w:szCs w:val="20"/>
                <w:u w:val="single"/>
              </w:rPr>
              <w:fldChar w:fldCharType="end"/>
            </w:r>
            <w:r>
              <w:rPr>
                <w:rStyle w:val="10"/>
                <w:sz w:val="20"/>
                <w:szCs w:val="20"/>
                <w:u w:val="single"/>
              </w:rPr>
              <w:t xml:space="preserve"> и </w:t>
            </w:r>
            <w:r>
              <w:fldChar w:fldCharType="begin"/>
            </w:r>
            <w:r>
              <w:instrText xml:space="preserve"> HYPERLINK "https://univer.kaznu.kz/Content/instructions/%D0%9F%D0%BE%D0%BB%D0%B8%D1%82%D0%B8%D0%BA%D0%B0%20%D0%B0%D0%BA%D0%B0%D0%B4%D0%B5%D0%BC%D0%B8%D1%87%D0%B5%D1%81%D0%BA%D0%BE%D0%B9%20%D1%87%D0%B5%D1%81%D1%82%D0%BD%D0%BE%D1%81%D1%82%D0%B8.pdf" </w:instrText>
            </w:r>
            <w:r>
              <w:fldChar w:fldCharType="separate"/>
            </w:r>
            <w:r>
              <w:rPr>
                <w:rStyle w:val="10"/>
                <w:sz w:val="20"/>
                <w:szCs w:val="20"/>
                <w:u w:val="single"/>
              </w:rPr>
              <w:t>Политикой академической честности КазНУ имени аль-Фараби.</w:t>
            </w:r>
            <w:r>
              <w:rPr>
                <w:rStyle w:val="10"/>
                <w:sz w:val="20"/>
                <w:szCs w:val="20"/>
                <w:u w:val="single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Документы доступны на главной странице ИС </w:t>
            </w:r>
            <w:r>
              <w:rPr>
                <w:sz w:val="20"/>
                <w:szCs w:val="20"/>
                <w:lang w:val="en-US"/>
              </w:rPr>
              <w:t>Univer</w:t>
            </w:r>
            <w:r>
              <w:rPr>
                <w:sz w:val="20"/>
                <w:szCs w:val="20"/>
              </w:rPr>
              <w:t>.</w:t>
            </w:r>
          </w:p>
          <w:p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заданий.</w:t>
            </w:r>
          </w:p>
          <w:p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Посещаемость. </w:t>
            </w:r>
            <w:r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дисциплины. Несоблюдение дедлайнов приводит к потере баллов. 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rStyle w:val="10"/>
                <w:b/>
                <w:bCs/>
                <w:sz w:val="20"/>
                <w:szCs w:val="20"/>
              </w:rPr>
              <w:t>Академическая честность.</w:t>
            </w:r>
            <w:r>
              <w:rPr>
                <w:rStyle w:val="10"/>
              </w:rPr>
              <w:t xml:space="preserve"> </w:t>
            </w:r>
            <w:r>
              <w:rPr>
                <w:sz w:val="20"/>
                <w:szCs w:val="20"/>
              </w:rPr>
              <w:t>Практические/лабораторные занятия, СРО развивают у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r>
              <w:fldChar w:fldCharType="begin"/>
            </w:r>
            <w:r>
              <w:instrText xml:space="preserve"> HYPERLINK 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</w:instrText>
            </w:r>
            <w:r>
              <w:fldChar w:fldCharType="separate"/>
            </w:r>
            <w:r>
              <w:rPr>
                <w:rStyle w:val="10"/>
                <w:sz w:val="20"/>
                <w:szCs w:val="20"/>
                <w:u w:val="single"/>
              </w:rPr>
              <w:t>«Правила проведения итогового контроля»</w:t>
            </w:r>
            <w:r>
              <w:rPr>
                <w:rStyle w:val="10"/>
                <w:sz w:val="20"/>
                <w:szCs w:val="20"/>
                <w:u w:val="single"/>
              </w:rPr>
              <w:fldChar w:fldCharType="end"/>
            </w:r>
            <w:r>
              <w:rPr>
                <w:sz w:val="20"/>
                <w:szCs w:val="20"/>
                <w:u w:val="single"/>
              </w:rPr>
              <w:t xml:space="preserve">, </w:t>
            </w:r>
            <w:r>
              <w:fldChar w:fldCharType="begin"/>
            </w:r>
            <w:r>
              <w:instrText xml:space="preserve"> HYPERLINK 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</w:instrText>
            </w:r>
            <w:r>
              <w:fldChar w:fldCharType="separate"/>
            </w:r>
            <w:r>
              <w:rPr>
                <w:rStyle w:val="10"/>
                <w:sz w:val="20"/>
                <w:szCs w:val="20"/>
                <w:u w:val="single"/>
              </w:rPr>
              <w:t>«Инструкции для проведения итогового контроля осеннего/весеннего семестра текущего учебного года»</w:t>
            </w:r>
            <w:r>
              <w:rPr>
                <w:rStyle w:val="10"/>
                <w:sz w:val="20"/>
                <w:szCs w:val="20"/>
                <w:u w:val="single"/>
              </w:rPr>
              <w:fldChar w:fldCharType="end"/>
            </w:r>
            <w:r>
              <w:rPr>
                <w:rStyle w:val="10"/>
                <w:sz w:val="20"/>
                <w:szCs w:val="20"/>
                <w:u w:val="single"/>
              </w:rPr>
              <w:t>,</w:t>
            </w:r>
            <w:r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Документы доступны на главной странице ИС </w:t>
            </w:r>
            <w:r>
              <w:rPr>
                <w:sz w:val="20"/>
                <w:szCs w:val="20"/>
                <w:lang w:val="en-US"/>
              </w:rPr>
              <w:t>Univer</w:t>
            </w:r>
            <w:r>
              <w:rPr>
                <w:sz w:val="20"/>
                <w:szCs w:val="20"/>
              </w:rPr>
              <w:t>.</w:t>
            </w:r>
          </w:p>
          <w:p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Основные принципы инклюзивного образования. </w:t>
            </w:r>
            <w:r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 обучающиеся, особенно с ограниченными возможностями, могут получать консультативную помощь по телефону/ е-</w:t>
            </w:r>
            <w:r>
              <w:rPr>
                <w:sz w:val="20"/>
                <w:szCs w:val="20"/>
                <w:lang w:val="en-US"/>
              </w:rPr>
              <w:t>mail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FF0000"/>
                <w:sz w:val="20"/>
                <w:szCs w:val="20"/>
                <w:u w:val="single"/>
              </w:rPr>
              <w:t>внесите контакты преподавателя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либо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iCs/>
                <w:sz w:val="20"/>
                <w:szCs w:val="20"/>
              </w:rPr>
              <w:t xml:space="preserve">посредством </w:t>
            </w:r>
            <w:r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>
              <w:rPr>
                <w:iCs/>
                <w:sz w:val="20"/>
                <w:szCs w:val="20"/>
                <w:lang w:val="en-US"/>
              </w:rPr>
              <w:t>MS</w:t>
            </w:r>
            <w:r>
              <w:rPr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  <w:lang w:val="en-US"/>
              </w:rPr>
              <w:t>Teams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color w:val="FF0000"/>
                <w:sz w:val="20"/>
                <w:szCs w:val="20"/>
                <w:u w:val="single"/>
              </w:rPr>
              <w:t>внесите постоянную ссылку на собрание.</w:t>
            </w:r>
          </w:p>
          <w:p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Интеграция</w:t>
            </w:r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</w:rPr>
              <w:t>МОО</w:t>
            </w:r>
            <w:r>
              <w:rPr>
                <w:b/>
                <w:sz w:val="20"/>
                <w:szCs w:val="20"/>
                <w:lang w:val="en-US"/>
              </w:rPr>
              <w:t xml:space="preserve">C (massive open online course). </w:t>
            </w:r>
            <w:r>
              <w:rPr>
                <w:sz w:val="20"/>
                <w:szCs w:val="20"/>
              </w:rPr>
              <w:t xml:space="preserve">В случае интеграции </w:t>
            </w:r>
            <w:r>
              <w:rPr>
                <w:bCs/>
                <w:sz w:val="20"/>
                <w:szCs w:val="20"/>
              </w:rPr>
              <w:t>МОО</w:t>
            </w:r>
            <w:r>
              <w:rPr>
                <w:bCs/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 xml:space="preserve"> в дисциплину, всем обучающимся необходимо зарегистрироваться на МОО</w:t>
            </w:r>
            <w:r>
              <w:rPr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 xml:space="preserve">. Сроки прохождения модулей </w:t>
            </w:r>
            <w:r>
              <w:rPr>
                <w:bCs/>
                <w:sz w:val="20"/>
                <w:szCs w:val="20"/>
              </w:rPr>
              <w:t>МОО</w:t>
            </w:r>
            <w:r>
              <w:rPr>
                <w:bCs/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 xml:space="preserve"> должны неукоснительно соблюдаться в соответствии с графиком изучения дисциплины. 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ВНИМАНИЕ! </w:t>
            </w:r>
            <w:r>
              <w:rPr>
                <w:sz w:val="20"/>
                <w:szCs w:val="20"/>
              </w:rPr>
              <w:t>Дедлайн каждого задания указан в календаре (графике) реализации содержания дисциплины, а также в МОО</w:t>
            </w:r>
            <w:r>
              <w:rPr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  <w:tc>
          <w:tcPr>
            <w:tcW w:w="540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jc w:val="both"/>
              <w:rPr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"/>
          <w:wAfter w:w="5406" w:type="dxa"/>
          <w:trHeight w:val="58" w:hRule="atLeast"/>
        </w:trPr>
        <w:tc>
          <w:tcPr>
            <w:tcW w:w="1387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BE5F1" w:themeFill="accent1" w:themeFillTint="33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"/>
          <w:wAfter w:w="5406" w:type="dxa"/>
          <w:trHeight w:val="368" w:hRule="atLeast"/>
        </w:trPr>
        <w:tc>
          <w:tcPr>
            <w:tcW w:w="4962" w:type="dxa"/>
            <w:gridSpan w:val="5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Балльно-рейтинговая </w:t>
            </w:r>
          </w:p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891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Методы оценивания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"/>
          <w:wAfter w:w="5406" w:type="dxa"/>
          <w:trHeight w:val="846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эквивалент</w:t>
            </w:r>
          </w:p>
          <w:p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Баллы, </w:t>
            </w:r>
          </w:p>
          <w:p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% содержание 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Оценка по традиционной системе</w:t>
            </w:r>
          </w:p>
        </w:tc>
        <w:tc>
          <w:tcPr>
            <w:tcW w:w="891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Критериальное оценивание </w:t>
            </w:r>
            <w:r>
              <w:rPr>
                <w:bCs/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формативном и суммативном оценивании.</w:t>
            </w:r>
          </w:p>
          <w:p>
            <w:pPr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Формативное оценивание – </w:t>
            </w:r>
            <w:r>
              <w:rPr>
                <w:sz w:val="16"/>
                <w:szCs w:val="16"/>
              </w:rPr>
              <w:t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>
            <w:pPr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Суммативное оценивание </w:t>
            </w:r>
            <w:r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 xml:space="preserve">Проводится 3-4 раза за семестр при выполнении </w:t>
            </w:r>
            <w:r>
              <w:rPr>
                <w:bCs/>
                <w:sz w:val="16"/>
                <w:szCs w:val="16"/>
                <w:lang w:val="ru-RU"/>
              </w:rPr>
              <w:t>СР</w:t>
            </w:r>
            <w:r>
              <w:rPr>
                <w:bCs/>
                <w:color w:val="FF0000"/>
                <w:sz w:val="16"/>
                <w:szCs w:val="16"/>
              </w:rPr>
              <w:t>.</w:t>
            </w:r>
            <w:r>
              <w:rPr>
                <w:color w:val="FF000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"/>
          <w:wAfter w:w="5406" w:type="dxa"/>
          <w:trHeight w:val="359" w:hRule="atLeast"/>
        </w:trPr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4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Отлично</w:t>
            </w:r>
          </w:p>
        </w:tc>
        <w:tc>
          <w:tcPr>
            <w:tcW w:w="8910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"/>
          <w:wAfter w:w="5406" w:type="dxa"/>
          <w:trHeight w:val="359" w:hRule="atLeast"/>
        </w:trPr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8910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"/>
          <w:wAfter w:w="5406" w:type="dxa"/>
          <w:trHeight w:val="973" w:hRule="atLeast"/>
        </w:trPr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Хорошо</w:t>
            </w:r>
          </w:p>
        </w:tc>
        <w:tc>
          <w:tcPr>
            <w:tcW w:w="8910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"/>
          <w:wAfter w:w="5406" w:type="dxa"/>
          <w:trHeight w:val="215" w:hRule="atLeast"/>
        </w:trPr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Формативное и суммативное оценивание</w:t>
            </w:r>
          </w:p>
          <w:p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650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 % содержание</w:t>
            </w:r>
          </w:p>
          <w:p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 xml:space="preserve">Преподаватель вносит свою разбалловку в пункты в соответствии с календарем (графиком). </w:t>
            </w:r>
          </w:p>
          <w:p>
            <w:pPr>
              <w:rPr>
                <w:color w:val="FF0000"/>
                <w:sz w:val="16"/>
                <w:szCs w:val="16"/>
                <w:u w:val="single"/>
              </w:rPr>
            </w:pPr>
            <w:r>
              <w:rPr>
                <w:color w:val="FF0000"/>
                <w:sz w:val="16"/>
                <w:szCs w:val="16"/>
                <w:u w:val="single"/>
              </w:rPr>
              <w:t xml:space="preserve">Не изменяются экзамен </w:t>
            </w:r>
          </w:p>
          <w:p>
            <w:pPr>
              <w:rPr>
                <w:b/>
                <w:bCs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  <w:u w:val="single"/>
              </w:rPr>
              <w:t>и итоговый балл по дисциплине.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"/>
          <w:wAfter w:w="5406" w:type="dxa"/>
          <w:trHeight w:val="135" w:hRule="atLeast"/>
        </w:trPr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565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"/>
          <w:wAfter w:w="5406" w:type="dxa"/>
          <w:trHeight w:val="51" w:hRule="atLeast"/>
        </w:trPr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rFonts w:hint="default"/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</w:rPr>
              <w:t>Работа на практи</w:t>
            </w:r>
            <w:r>
              <w:rPr>
                <w:sz w:val="16"/>
                <w:szCs w:val="16"/>
                <w:lang w:val="ru-RU"/>
              </w:rPr>
              <w:t>ческих</w:t>
            </w:r>
            <w:r>
              <w:rPr>
                <w:rFonts w:hint="default"/>
                <w:sz w:val="16"/>
                <w:szCs w:val="16"/>
                <w:lang w:val="ru-RU"/>
              </w:rPr>
              <w:t xml:space="preserve">  занятиях</w:t>
            </w:r>
          </w:p>
          <w:p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65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"/>
          <w:wAfter w:w="5406" w:type="dxa"/>
          <w:trHeight w:val="181" w:hRule="atLeast"/>
        </w:trPr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565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</w:rPr>
              <w:t>2</w:t>
            </w:r>
            <w:r>
              <w:rPr>
                <w:color w:val="FF0000"/>
                <w:sz w:val="16"/>
                <w:szCs w:val="16"/>
                <w:lang w:val="kk-KZ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"/>
          <w:wAfter w:w="5406" w:type="dxa"/>
          <w:trHeight w:val="87" w:hRule="atLeast"/>
        </w:trPr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565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"/>
          <w:wAfter w:w="5406" w:type="dxa"/>
          <w:trHeight w:val="250" w:hRule="atLeast"/>
        </w:trPr>
        <w:tc>
          <w:tcPr>
            <w:tcW w:w="851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Итоговый контроль (экзамен)                                                         </w:t>
            </w:r>
          </w:p>
        </w:tc>
        <w:tc>
          <w:tcPr>
            <w:tcW w:w="5650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"/>
          <w:wAfter w:w="5406" w:type="dxa"/>
          <w:trHeight w:val="315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5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100 </w:t>
            </w:r>
          </w:p>
        </w:tc>
      </w:tr>
    </w:tbl>
    <w:p>
      <w:pPr>
        <w:jc w:val="both"/>
        <w:rPr>
          <w:sz w:val="28"/>
          <w:szCs w:val="28"/>
        </w:rPr>
      </w:pPr>
      <w:r>
        <w:t xml:space="preserve">         </w:t>
      </w:r>
      <w:r>
        <w:rPr>
          <w:rFonts w:hint="default"/>
          <w:b/>
          <w:lang w:val="ru-RU"/>
        </w:rPr>
        <w:t xml:space="preserve">     </w:t>
      </w:r>
    </w:p>
    <w:p>
      <w:pPr>
        <w:rPr>
          <w:rFonts w:ascii="Times New Roman" w:hAnsi="Times New Roman" w:cs="Times New Roman"/>
          <w:sz w:val="28"/>
          <w:szCs w:val="28"/>
        </w:rPr>
      </w:pPr>
    </w:p>
    <w:p>
      <w:pPr>
        <w:ind w:firstLine="4062" w:firstLineChars="1450"/>
        <w:rPr>
          <w:i/>
          <w:sz w:val="24"/>
          <w:lang w:val="fr-FR"/>
        </w:rPr>
      </w:pPr>
      <w:r>
        <w:rPr>
          <w:b/>
          <w:bCs/>
          <w:sz w:val="28"/>
          <w:szCs w:val="28"/>
          <w:lang w:val="ru-RU"/>
        </w:rPr>
        <w:t>Календарь</w:t>
      </w:r>
      <w:r>
        <w:rPr>
          <w:rFonts w:hint="default"/>
          <w:b/>
          <w:bCs/>
          <w:sz w:val="28"/>
          <w:szCs w:val="28"/>
          <w:lang w:val="ru-RU"/>
        </w:rPr>
        <w:t xml:space="preserve"> (график) реализации содержания дисциплины  </w:t>
      </w:r>
      <w:r>
        <w:rPr>
          <w:i/>
          <w:sz w:val="24"/>
          <w:lang w:val="fr-FR"/>
        </w:rPr>
        <w:t xml:space="preserve"> </w:t>
      </w:r>
    </w:p>
    <w:tbl>
      <w:tblPr>
        <w:tblStyle w:val="1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105"/>
        <w:gridCol w:w="5591"/>
        <w:gridCol w:w="3767"/>
        <w:gridCol w:w="37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3" w:type="dxa"/>
            <w:gridSpan w:val="2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b/>
                <w:bCs/>
                <w:sz w:val="28"/>
                <w:szCs w:val="28"/>
                <w:vertAlign w:val="baseline"/>
                <w:lang w:val="ru-RU"/>
              </w:rPr>
              <w:t>Неделя</w:t>
            </w:r>
          </w:p>
        </w:tc>
        <w:tc>
          <w:tcPr>
            <w:tcW w:w="5591" w:type="dxa"/>
          </w:tcPr>
          <w:p>
            <w:pPr>
              <w:ind w:firstLine="1261" w:firstLineChars="450"/>
              <w:rPr>
                <w:rFonts w:hint="default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b/>
                <w:bCs/>
                <w:sz w:val="28"/>
                <w:szCs w:val="28"/>
                <w:vertAlign w:val="baseline"/>
                <w:lang w:val="ru-RU"/>
              </w:rPr>
              <w:t>Название темы</w:t>
            </w:r>
          </w:p>
        </w:tc>
        <w:tc>
          <w:tcPr>
            <w:tcW w:w="3767" w:type="dxa"/>
          </w:tcPr>
          <w:p>
            <w:pPr>
              <w:ind w:firstLine="700" w:firstLineChars="250"/>
              <w:rPr>
                <w:rFonts w:hint="default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b/>
                <w:bCs/>
                <w:sz w:val="28"/>
                <w:szCs w:val="28"/>
                <w:vertAlign w:val="baseline"/>
                <w:lang w:val="ru-RU"/>
              </w:rPr>
              <w:t>Кол-во часов</w:t>
            </w:r>
          </w:p>
        </w:tc>
        <w:tc>
          <w:tcPr>
            <w:tcW w:w="3767" w:type="dxa"/>
          </w:tcPr>
          <w:p>
            <w:pPr>
              <w:ind w:firstLine="560" w:firstLineChars="200"/>
              <w:rPr>
                <w:rFonts w:hint="default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b/>
                <w:bCs/>
                <w:sz w:val="28"/>
                <w:szCs w:val="28"/>
                <w:vertAlign w:val="baseline"/>
                <w:lang w:val="ru-RU"/>
              </w:rPr>
              <w:t>Макс.балл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3" w:type="dxa"/>
            <w:gridSpan w:val="2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b/>
                <w:bCs/>
                <w:sz w:val="28"/>
                <w:szCs w:val="28"/>
                <w:vertAlign w:val="baseline"/>
                <w:lang w:val="ru-RU"/>
              </w:rPr>
              <w:t>1</w:t>
            </w:r>
          </w:p>
        </w:tc>
        <w:tc>
          <w:tcPr>
            <w:tcW w:w="5591" w:type="dxa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i/>
                <w:sz w:val="24"/>
                <w:lang w:val="fr-FR"/>
              </w:rPr>
              <w:t xml:space="preserve">Un après – midi à problemes. </w:t>
            </w:r>
            <w:r>
              <w:rPr>
                <w:i/>
                <w:sz w:val="24"/>
                <w:lang w:val="en-US"/>
              </w:rPr>
              <w:t>P. 98.</w:t>
            </w:r>
            <w:r>
              <w:rPr>
                <w:rFonts w:hint="default"/>
                <w:i/>
                <w:sz w:val="24"/>
                <w:lang w:val="ru-RU"/>
              </w:rPr>
              <w:t>/</w:t>
            </w:r>
          </w:p>
        </w:tc>
        <w:tc>
          <w:tcPr>
            <w:tcW w:w="3767" w:type="dxa"/>
          </w:tcPr>
          <w:p>
            <w:pPr>
              <w:ind w:firstLine="1261" w:firstLineChars="450"/>
              <w:rPr>
                <w:rFonts w:hint="default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b/>
                <w:bCs/>
                <w:sz w:val="28"/>
                <w:szCs w:val="28"/>
                <w:vertAlign w:val="baseline"/>
                <w:lang w:val="ru-RU"/>
              </w:rPr>
              <w:t>3</w:t>
            </w:r>
          </w:p>
        </w:tc>
        <w:tc>
          <w:tcPr>
            <w:tcW w:w="3767" w:type="dxa"/>
          </w:tcPr>
          <w:p>
            <w:pPr>
              <w:ind w:firstLine="980" w:firstLineChars="350"/>
              <w:rPr>
                <w:rFonts w:hint="default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b/>
                <w:bCs/>
                <w:sz w:val="28"/>
                <w:szCs w:val="28"/>
                <w:vertAlign w:val="baseline"/>
                <w:lang w:val="ru-RU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3" w:type="dxa"/>
            <w:gridSpan w:val="2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b/>
                <w:bCs/>
                <w:sz w:val="28"/>
                <w:szCs w:val="28"/>
                <w:vertAlign w:val="baseline"/>
                <w:lang w:val="ru-RU"/>
              </w:rPr>
              <w:t>2</w:t>
            </w:r>
          </w:p>
        </w:tc>
        <w:tc>
          <w:tcPr>
            <w:tcW w:w="5591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vertAlign w:val="baseline"/>
                <w:lang w:val="ru-RU" w:eastAsia="en-US" w:bidi="ar-SA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n-US"/>
              </w:rPr>
              <w:t xml:space="preserve"> T</w:t>
            </w:r>
            <w:r>
              <w:rPr>
                <w:i/>
                <w:sz w:val="24"/>
                <w:lang w:val="fr-FR"/>
              </w:rPr>
              <w:t xml:space="preserve">out est bien qui finit bien. </w:t>
            </w:r>
            <w:r>
              <w:rPr>
                <w:i/>
                <w:sz w:val="24"/>
                <w:lang w:val="en-US"/>
              </w:rPr>
              <w:t>P. 106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ru-RU"/>
              </w:rPr>
              <w:t xml:space="preserve"> </w:t>
            </w:r>
            <w:r>
              <w:rPr>
                <w:rFonts w:hint="default"/>
                <w:b/>
                <w:bCs/>
                <w:sz w:val="20"/>
                <w:szCs w:val="20"/>
                <w:lang w:val="ru-RU"/>
              </w:rPr>
              <w:t xml:space="preserve">СРОП.Консультация </w:t>
            </w:r>
          </w:p>
        </w:tc>
        <w:tc>
          <w:tcPr>
            <w:tcW w:w="3767" w:type="dxa"/>
          </w:tcPr>
          <w:p>
            <w:pPr>
              <w:ind w:firstLine="1261" w:firstLineChars="450"/>
              <w:rPr>
                <w:rFonts w:hint="default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b/>
                <w:bCs/>
                <w:sz w:val="28"/>
                <w:szCs w:val="28"/>
                <w:vertAlign w:val="baseline"/>
                <w:lang w:val="ru-RU"/>
              </w:rPr>
              <w:t>3</w:t>
            </w:r>
          </w:p>
        </w:tc>
        <w:tc>
          <w:tcPr>
            <w:tcW w:w="3767" w:type="dxa"/>
          </w:tcPr>
          <w:p>
            <w:pPr>
              <w:ind w:firstLine="980" w:firstLineChars="350"/>
              <w:rPr>
                <w:rFonts w:hint="default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b/>
                <w:bCs/>
                <w:sz w:val="28"/>
                <w:szCs w:val="28"/>
                <w:vertAlign w:val="baseline"/>
                <w:lang w:val="ru-RU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3" w:type="dxa"/>
            <w:gridSpan w:val="2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b/>
                <w:bCs/>
                <w:sz w:val="28"/>
                <w:szCs w:val="28"/>
                <w:vertAlign w:val="baseline"/>
                <w:lang w:val="ru-RU"/>
              </w:rPr>
              <w:t>3</w:t>
            </w:r>
          </w:p>
        </w:tc>
        <w:tc>
          <w:tcPr>
            <w:tcW w:w="5591" w:type="dxa"/>
            <w:tcBorders>
              <w:top w:val="nil"/>
            </w:tcBorders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vertAlign w:val="baseline"/>
                <w:lang w:val="ru-RU" w:eastAsia="en-US" w:bidi="ar-SA"/>
              </w:rPr>
            </w:pPr>
            <w:r>
              <w:rPr>
                <w:i/>
                <w:sz w:val="24"/>
                <w:lang w:val="en-US"/>
              </w:rPr>
              <w:t>Aux ar</w:t>
            </w:r>
            <w:r>
              <w:rPr>
                <w:rFonts w:hint="default"/>
                <w:i/>
                <w:sz w:val="24"/>
                <w:lang w:val="en-US"/>
              </w:rPr>
              <w:t>m</w:t>
            </w:r>
            <w:r>
              <w:rPr>
                <w:i/>
                <w:sz w:val="24"/>
                <w:lang w:val="en-US"/>
              </w:rPr>
              <w:t>es citoyens! P.118</w:t>
            </w:r>
          </w:p>
        </w:tc>
        <w:tc>
          <w:tcPr>
            <w:tcW w:w="3767" w:type="dxa"/>
          </w:tcPr>
          <w:p>
            <w:pPr>
              <w:ind w:firstLine="1261" w:firstLineChars="450"/>
              <w:rPr>
                <w:rFonts w:hint="default"/>
                <w:b/>
                <w:bCs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vertAlign w:val="baseline"/>
                <w:lang w:val="en-US"/>
              </w:rPr>
              <w:t>3</w:t>
            </w:r>
          </w:p>
        </w:tc>
        <w:tc>
          <w:tcPr>
            <w:tcW w:w="3767" w:type="dxa"/>
          </w:tcPr>
          <w:p>
            <w:pPr>
              <w:ind w:firstLine="980" w:firstLineChars="350"/>
              <w:rPr>
                <w:rFonts w:hint="default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b/>
                <w:bCs/>
                <w:sz w:val="28"/>
                <w:szCs w:val="28"/>
                <w:vertAlign w:val="baseline"/>
                <w:lang w:val="ru-RU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3" w:type="dxa"/>
            <w:gridSpan w:val="2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vertAlign w:val="baseline"/>
                <w:lang w:val="en-US"/>
              </w:rPr>
              <w:t>4</w:t>
            </w:r>
          </w:p>
        </w:tc>
        <w:tc>
          <w:tcPr>
            <w:tcW w:w="5591" w:type="dxa"/>
          </w:tcPr>
          <w:p>
            <w:pPr>
              <w:pStyle w:val="14"/>
              <w:ind w:left="-10"/>
              <w:rPr>
                <w:i/>
                <w:sz w:val="24"/>
                <w:lang w:val="en-US"/>
              </w:rPr>
            </w:pPr>
            <w:r>
              <w:rPr>
                <w:i/>
                <w:sz w:val="24"/>
                <w:lang w:val="fr-FR"/>
              </w:rPr>
              <w:t>Qui ne risqu</w:t>
            </w:r>
            <w:r>
              <w:rPr>
                <w:rFonts w:hint="default"/>
                <w:i/>
                <w:sz w:val="24"/>
                <w:lang w:val="en-US"/>
              </w:rPr>
              <w:t>e</w:t>
            </w:r>
            <w:r>
              <w:rPr>
                <w:i/>
                <w:sz w:val="24"/>
                <w:lang w:val="fr-FR"/>
              </w:rPr>
              <w:t xml:space="preserve"> rien n` a rien. </w:t>
            </w:r>
            <w:r>
              <w:rPr>
                <w:i/>
                <w:sz w:val="24"/>
                <w:lang w:val="en-US"/>
              </w:rPr>
              <w:t>P. 126.</w:t>
            </w:r>
          </w:p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/>
              </w:rPr>
            </w:pPr>
            <w:r>
              <w:rPr>
                <w:i/>
                <w:sz w:val="24"/>
                <w:lang w:val="en-US"/>
              </w:rPr>
              <w:t>Les saison</w:t>
            </w:r>
            <w:r>
              <w:rPr>
                <w:rFonts w:hint="default"/>
                <w:i/>
                <w:sz w:val="24"/>
                <w:lang w:val="en-US"/>
              </w:rPr>
              <w:t>s</w:t>
            </w:r>
          </w:p>
        </w:tc>
        <w:tc>
          <w:tcPr>
            <w:tcW w:w="3767" w:type="dxa"/>
          </w:tcPr>
          <w:p>
            <w:pPr>
              <w:ind w:firstLine="1261" w:firstLineChars="450"/>
              <w:rPr>
                <w:rFonts w:hint="default"/>
                <w:b/>
                <w:bCs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vertAlign w:val="baseline"/>
                <w:lang w:val="en-US"/>
              </w:rPr>
              <w:t>3</w:t>
            </w:r>
          </w:p>
        </w:tc>
        <w:tc>
          <w:tcPr>
            <w:tcW w:w="3767" w:type="dxa"/>
          </w:tcPr>
          <w:p>
            <w:pPr>
              <w:ind w:firstLine="980" w:firstLineChars="350"/>
              <w:rPr>
                <w:rFonts w:hint="default"/>
                <w:b/>
                <w:bCs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vertAlign w:val="baseline"/>
                <w:lang w:val="en-US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3" w:type="dxa"/>
            <w:gridSpan w:val="2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vertAlign w:val="baseline"/>
                <w:lang w:val="en-US"/>
              </w:rPr>
              <w:t>5</w:t>
            </w:r>
          </w:p>
        </w:tc>
        <w:tc>
          <w:tcPr>
            <w:tcW w:w="5591" w:type="dxa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i/>
                <w:sz w:val="24"/>
                <w:lang w:val="fr-FR"/>
              </w:rPr>
              <w:t xml:space="preserve">La fortune sourit aux audacieux. </w:t>
            </w:r>
            <w:r>
              <w:rPr>
                <w:i/>
                <w:sz w:val="24"/>
                <w:lang w:val="fr-FR"/>
              </w:rPr>
              <w:br w:type="textWrapping"/>
            </w:r>
            <w:r>
              <w:rPr>
                <w:i/>
                <w:sz w:val="24"/>
                <w:lang w:val="en-US"/>
              </w:rPr>
              <w:t>P. 134.</w:t>
            </w:r>
          </w:p>
        </w:tc>
        <w:tc>
          <w:tcPr>
            <w:tcW w:w="3767" w:type="dxa"/>
          </w:tcPr>
          <w:p>
            <w:pPr>
              <w:ind w:firstLine="1261" w:firstLineChars="450"/>
              <w:rPr>
                <w:rFonts w:hint="default"/>
                <w:b/>
                <w:bCs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vertAlign w:val="baseline"/>
                <w:lang w:val="en-US"/>
              </w:rPr>
              <w:t>3</w:t>
            </w:r>
          </w:p>
        </w:tc>
        <w:tc>
          <w:tcPr>
            <w:tcW w:w="3767" w:type="dxa"/>
          </w:tcPr>
          <w:p>
            <w:pPr>
              <w:ind w:firstLine="980" w:firstLineChars="350"/>
              <w:rPr>
                <w:rFonts w:hint="default"/>
                <w:b/>
                <w:bCs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vertAlign w:val="baseline"/>
                <w:lang w:val="en-US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3" w:type="dxa"/>
            <w:gridSpan w:val="2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vertAlign w:val="baseline"/>
                <w:lang w:val="en-US"/>
              </w:rPr>
              <w:t>6</w:t>
            </w:r>
          </w:p>
        </w:tc>
        <w:tc>
          <w:tcPr>
            <w:tcW w:w="5591" w:type="dxa"/>
          </w:tcPr>
          <w:p>
            <w:pPr>
              <w:jc w:val="both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i/>
                <w:sz w:val="24"/>
                <w:lang w:val="fr-FR"/>
              </w:rPr>
              <w:t xml:space="preserve">La publicité et nos rêves. </w:t>
            </w:r>
            <w:r>
              <w:rPr>
                <w:i/>
                <w:sz w:val="24"/>
                <w:lang w:val="en-US"/>
              </w:rPr>
              <w:t>P. 14</w:t>
            </w:r>
            <w:r>
              <w:rPr>
                <w:rFonts w:hint="default"/>
                <w:i/>
                <w:sz w:val="24"/>
                <w:lang w:val="ru-RU"/>
              </w:rPr>
              <w:t>4</w:t>
            </w:r>
            <w:r>
              <w:rPr>
                <w:rFonts w:hint="default"/>
                <w:i/>
                <w:sz w:val="24"/>
                <w:lang w:val="en-US"/>
              </w:rPr>
              <w:t xml:space="preserve"> </w:t>
            </w:r>
            <w:r>
              <w:rPr>
                <w:rFonts w:hint="default"/>
                <w:b/>
                <w:bCs/>
                <w:sz w:val="20"/>
                <w:szCs w:val="20"/>
                <w:lang w:val="ru-RU"/>
              </w:rPr>
              <w:t xml:space="preserve">СРОСРОП2.Консультация </w:t>
            </w:r>
          </w:p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ru-RU"/>
              </w:rPr>
            </w:pPr>
          </w:p>
        </w:tc>
        <w:tc>
          <w:tcPr>
            <w:tcW w:w="3767" w:type="dxa"/>
          </w:tcPr>
          <w:p>
            <w:pPr>
              <w:ind w:firstLine="1261" w:firstLineChars="450"/>
              <w:rPr>
                <w:rFonts w:hint="default"/>
                <w:b/>
                <w:bCs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vertAlign w:val="baseline"/>
                <w:lang w:val="en-US"/>
              </w:rPr>
              <w:t>3</w:t>
            </w:r>
          </w:p>
        </w:tc>
        <w:tc>
          <w:tcPr>
            <w:tcW w:w="3767" w:type="dxa"/>
          </w:tcPr>
          <w:p>
            <w:pPr>
              <w:ind w:firstLine="980" w:firstLineChars="350"/>
              <w:rPr>
                <w:rFonts w:hint="default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b/>
                <w:bCs/>
                <w:sz w:val="28"/>
                <w:szCs w:val="28"/>
                <w:vertAlign w:val="baseline"/>
                <w:lang w:val="ru-RU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3" w:type="dxa"/>
            <w:gridSpan w:val="2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vertAlign w:val="baseline"/>
                <w:lang w:val="en-US"/>
              </w:rPr>
              <w:t>7</w:t>
            </w:r>
          </w:p>
        </w:tc>
        <w:tc>
          <w:tcPr>
            <w:tcW w:w="5591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vertAlign w:val="baseline"/>
                <w:lang w:val="ru-RU" w:eastAsia="en-US" w:bidi="ar-SA"/>
              </w:rPr>
            </w:pPr>
            <w:r>
              <w:rPr>
                <w:rFonts w:hint="default"/>
                <w:i/>
                <w:sz w:val="24"/>
                <w:lang w:val="en-US"/>
              </w:rPr>
              <w:t>C</w:t>
            </w:r>
            <w:r>
              <w:rPr>
                <w:i/>
                <w:sz w:val="24"/>
                <w:lang w:val="en-US"/>
              </w:rPr>
              <w:t>ampagne publicitaire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ru-RU"/>
              </w:rPr>
              <w:t xml:space="preserve"> </w:t>
            </w:r>
            <w:r>
              <w:rPr>
                <w:rFonts w:hint="default"/>
                <w:b/>
                <w:bCs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3767" w:type="dxa"/>
          </w:tcPr>
          <w:p>
            <w:pPr>
              <w:ind w:firstLine="1261" w:firstLineChars="450"/>
              <w:rPr>
                <w:rFonts w:hint="default"/>
                <w:b/>
                <w:bCs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vertAlign w:val="baseline"/>
                <w:lang w:val="en-US"/>
              </w:rPr>
              <w:t>3</w:t>
            </w:r>
          </w:p>
        </w:tc>
        <w:tc>
          <w:tcPr>
            <w:tcW w:w="3767" w:type="dxa"/>
          </w:tcPr>
          <w:p>
            <w:pPr>
              <w:ind w:firstLine="980" w:firstLineChars="350"/>
              <w:rPr>
                <w:rFonts w:hint="default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b/>
                <w:bCs/>
                <w:sz w:val="28"/>
                <w:szCs w:val="28"/>
                <w:vertAlign w:val="baseline"/>
                <w:lang w:val="ru-RU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3" w:type="dxa"/>
            <w:gridSpan w:val="2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b/>
                <w:bCs/>
                <w:sz w:val="28"/>
                <w:szCs w:val="28"/>
                <w:vertAlign w:val="baseline"/>
                <w:lang w:val="ru-RU"/>
              </w:rPr>
              <w:t>РК1</w:t>
            </w:r>
          </w:p>
        </w:tc>
        <w:tc>
          <w:tcPr>
            <w:tcW w:w="5591" w:type="dxa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vertAlign w:val="baseline"/>
                <w:lang w:val="en-US"/>
              </w:rPr>
              <w:t>Le travail de controle</w:t>
            </w:r>
          </w:p>
        </w:tc>
        <w:tc>
          <w:tcPr>
            <w:tcW w:w="3767" w:type="dxa"/>
          </w:tcPr>
          <w:p>
            <w:pPr>
              <w:ind w:firstLine="1261" w:firstLineChars="450"/>
              <w:rPr>
                <w:rFonts w:hint="default"/>
                <w:b/>
                <w:bCs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vertAlign w:val="baseline"/>
                <w:lang w:val="en-US"/>
              </w:rPr>
              <w:t>3</w:t>
            </w:r>
          </w:p>
        </w:tc>
        <w:tc>
          <w:tcPr>
            <w:tcW w:w="3767" w:type="dxa"/>
          </w:tcPr>
          <w:p>
            <w:pPr>
              <w:ind w:firstLine="980" w:firstLineChars="350"/>
              <w:rPr>
                <w:rFonts w:hint="default"/>
                <w:b/>
                <w:bCs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vertAlign w:val="baseline"/>
                <w:lang w:val="en-US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3" w:type="dxa"/>
            <w:gridSpan w:val="2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vertAlign w:val="baseline"/>
                <w:lang w:val="en-US"/>
              </w:rPr>
              <w:t>8</w:t>
            </w:r>
          </w:p>
        </w:tc>
        <w:tc>
          <w:tcPr>
            <w:tcW w:w="5591" w:type="dxa"/>
          </w:tcPr>
          <w:p>
            <w:pPr>
              <w:jc w:val="both"/>
              <w:rPr>
                <w:sz w:val="20"/>
                <w:szCs w:val="20"/>
                <w:lang w:val="fr-FR"/>
              </w:rPr>
            </w:pPr>
          </w:p>
          <w:p>
            <w:pPr>
              <w:pStyle w:val="14"/>
              <w:ind w:left="-10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fr-FR"/>
              </w:rPr>
              <w:t xml:space="preserve">                   </w:t>
            </w:r>
            <w:r>
              <w:rPr>
                <w:i/>
                <w:sz w:val="24"/>
                <w:lang w:val="en-US"/>
              </w:rPr>
              <w:t>La France</w:t>
            </w:r>
            <w:r>
              <w:rPr>
                <w:rFonts w:hint="default"/>
                <w:i/>
                <w:sz w:val="24"/>
                <w:lang w:val="ru-RU"/>
              </w:rPr>
              <w:t xml:space="preserve"> </w:t>
            </w:r>
            <w:r>
              <w:rPr>
                <w:rFonts w:hint="default"/>
                <w:b/>
                <w:bCs/>
                <w:sz w:val="20"/>
                <w:szCs w:val="20"/>
                <w:lang w:val="ru-RU"/>
              </w:rPr>
              <w:t>СРОП4.Консультация по СРО3</w:t>
            </w:r>
          </w:p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ru-RU"/>
              </w:rPr>
            </w:pPr>
          </w:p>
        </w:tc>
        <w:tc>
          <w:tcPr>
            <w:tcW w:w="3767" w:type="dxa"/>
          </w:tcPr>
          <w:p>
            <w:pPr>
              <w:ind w:firstLine="1261" w:firstLineChars="450"/>
              <w:rPr>
                <w:rFonts w:hint="default"/>
                <w:b/>
                <w:bCs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vertAlign w:val="baseline"/>
                <w:lang w:val="en-US"/>
              </w:rPr>
              <w:t>3</w:t>
            </w:r>
          </w:p>
        </w:tc>
        <w:tc>
          <w:tcPr>
            <w:tcW w:w="3767" w:type="dxa"/>
          </w:tcPr>
          <w:p>
            <w:pPr>
              <w:ind w:firstLine="980" w:firstLineChars="350"/>
              <w:rPr>
                <w:rFonts w:hint="default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b/>
                <w:bCs/>
                <w:sz w:val="28"/>
                <w:szCs w:val="28"/>
                <w:vertAlign w:val="baseline"/>
                <w:lang w:val="ru-RU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3" w:type="dxa"/>
            <w:gridSpan w:val="2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vertAlign w:val="baseline"/>
                <w:lang w:val="en-US"/>
              </w:rPr>
              <w:t>9</w:t>
            </w:r>
          </w:p>
        </w:tc>
        <w:tc>
          <w:tcPr>
            <w:tcW w:w="5591" w:type="dxa"/>
          </w:tcPr>
          <w:p>
            <w:pPr>
              <w:pStyle w:val="14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i/>
                <w:sz w:val="24"/>
                <w:lang w:val="en-US"/>
              </w:rPr>
              <w:t>L</w:t>
            </w:r>
            <w:r>
              <w:rPr>
                <w:i/>
                <w:sz w:val="24"/>
                <w:lang w:val="fr-FR"/>
              </w:rPr>
              <w:t>a situation géographique de la Fran</w:t>
            </w:r>
            <w:r>
              <w:rPr>
                <w:rFonts w:hint="default"/>
                <w:i/>
                <w:sz w:val="24"/>
                <w:lang w:val="fr-FR"/>
              </w:rPr>
              <w:t>ce</w:t>
            </w:r>
          </w:p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/>
              </w:rPr>
            </w:pPr>
            <w:r>
              <w:rPr>
                <w:sz w:val="20"/>
                <w:szCs w:val="20"/>
                <w:lang w:val="fr-FR"/>
              </w:rPr>
              <w:t>Donner so</w:t>
            </w:r>
            <w:r>
              <w:rPr>
                <w:rFonts w:hint="default"/>
                <w:sz w:val="20"/>
                <w:szCs w:val="20"/>
                <w:lang w:val="en-US"/>
              </w:rPr>
              <w:t xml:space="preserve"> n opinion</w:t>
            </w:r>
          </w:p>
        </w:tc>
        <w:tc>
          <w:tcPr>
            <w:tcW w:w="3767" w:type="dxa"/>
          </w:tcPr>
          <w:p>
            <w:pPr>
              <w:ind w:firstLine="1261" w:firstLineChars="450"/>
              <w:rPr>
                <w:rFonts w:hint="default"/>
                <w:b/>
                <w:bCs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vertAlign w:val="baseline"/>
                <w:lang w:val="en-US"/>
              </w:rPr>
              <w:t>3</w:t>
            </w:r>
          </w:p>
        </w:tc>
        <w:tc>
          <w:tcPr>
            <w:tcW w:w="3767" w:type="dxa"/>
          </w:tcPr>
          <w:p>
            <w:pPr>
              <w:ind w:firstLine="980" w:firstLineChars="350"/>
              <w:rPr>
                <w:rFonts w:hint="default"/>
                <w:b/>
                <w:bCs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vertAlign w:val="baseline"/>
                <w:lang w:val="en-US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3" w:type="dxa"/>
            <w:gridSpan w:val="2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vertAlign w:val="baseline"/>
                <w:lang w:val="en-US"/>
              </w:rPr>
              <w:t>10</w:t>
            </w:r>
          </w:p>
        </w:tc>
        <w:tc>
          <w:tcPr>
            <w:tcW w:w="5591" w:type="dxa"/>
          </w:tcPr>
          <w:p>
            <w:pPr>
              <w:pStyle w:val="14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i/>
                <w:sz w:val="24"/>
                <w:lang w:val="fr-FR"/>
              </w:rPr>
              <w:t>La situation géographique de la Fran</w:t>
            </w:r>
            <w:r>
              <w:rPr>
                <w:rFonts w:hint="default"/>
                <w:i/>
                <w:sz w:val="24"/>
                <w:lang w:val="fr-FR"/>
              </w:rPr>
              <w:t>ce</w:t>
            </w:r>
            <w:r>
              <w:rPr>
                <w:rFonts w:hint="default"/>
                <w:i/>
                <w:sz w:val="24"/>
                <w:lang w:val="en-US"/>
              </w:rPr>
              <w:t xml:space="preserve"> </w:t>
            </w:r>
            <w:r>
              <w:rPr>
                <w:rFonts w:hint="default"/>
                <w:i/>
                <w:sz w:val="24"/>
                <w:lang w:val="ru-RU"/>
              </w:rPr>
              <w:t xml:space="preserve">СРО </w:t>
            </w:r>
          </w:p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ru-RU"/>
              </w:rPr>
            </w:pPr>
          </w:p>
        </w:tc>
        <w:tc>
          <w:tcPr>
            <w:tcW w:w="3767" w:type="dxa"/>
          </w:tcPr>
          <w:p>
            <w:pPr>
              <w:ind w:firstLine="1261" w:firstLineChars="450"/>
              <w:rPr>
                <w:rFonts w:hint="default"/>
                <w:b/>
                <w:bCs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vertAlign w:val="baseline"/>
                <w:lang w:val="en-US"/>
              </w:rPr>
              <w:t>3</w:t>
            </w:r>
          </w:p>
        </w:tc>
        <w:tc>
          <w:tcPr>
            <w:tcW w:w="3767" w:type="dxa"/>
          </w:tcPr>
          <w:p>
            <w:pPr>
              <w:ind w:firstLine="980" w:firstLineChars="350"/>
              <w:rPr>
                <w:rFonts w:hint="default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b/>
                <w:bCs/>
                <w:sz w:val="28"/>
                <w:szCs w:val="28"/>
                <w:vertAlign w:val="baseline"/>
                <w:lang w:val="ru-RU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3" w:type="dxa"/>
            <w:gridSpan w:val="2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vertAlign w:val="baseline"/>
                <w:lang w:val="en-US"/>
              </w:rPr>
              <w:t>11</w:t>
            </w:r>
          </w:p>
        </w:tc>
        <w:tc>
          <w:tcPr>
            <w:tcW w:w="5591" w:type="dxa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i/>
                <w:sz w:val="24"/>
                <w:lang w:val="fr-FR"/>
              </w:rPr>
              <w:t>La France et le monde</w:t>
            </w:r>
          </w:p>
        </w:tc>
        <w:tc>
          <w:tcPr>
            <w:tcW w:w="3767" w:type="dxa"/>
          </w:tcPr>
          <w:p>
            <w:pPr>
              <w:ind w:firstLine="1261" w:firstLineChars="450"/>
              <w:rPr>
                <w:rFonts w:hint="default"/>
                <w:b/>
                <w:bCs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vertAlign w:val="baseline"/>
                <w:lang w:val="en-US"/>
              </w:rPr>
              <w:t>3</w:t>
            </w:r>
          </w:p>
        </w:tc>
        <w:tc>
          <w:tcPr>
            <w:tcW w:w="3767" w:type="dxa"/>
          </w:tcPr>
          <w:p>
            <w:pPr>
              <w:ind w:firstLine="980" w:firstLineChars="350"/>
              <w:rPr>
                <w:rFonts w:hint="default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b/>
                <w:bCs/>
                <w:sz w:val="28"/>
                <w:szCs w:val="28"/>
                <w:vertAlign w:val="baseline"/>
                <w:lang w:val="ru-RU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3" w:type="dxa"/>
            <w:gridSpan w:val="2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vertAlign w:val="baseline"/>
                <w:lang w:val="en-US"/>
              </w:rPr>
              <w:t>12</w:t>
            </w:r>
          </w:p>
        </w:tc>
        <w:tc>
          <w:tcPr>
            <w:tcW w:w="5591" w:type="dxa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i/>
                <w:sz w:val="24"/>
                <w:lang w:val="fr-FR"/>
              </w:rPr>
              <w:t>La France et le monde</w:t>
            </w:r>
          </w:p>
        </w:tc>
        <w:tc>
          <w:tcPr>
            <w:tcW w:w="3767" w:type="dxa"/>
          </w:tcPr>
          <w:p>
            <w:pPr>
              <w:ind w:firstLine="1261" w:firstLineChars="450"/>
              <w:rPr>
                <w:rFonts w:hint="default"/>
                <w:b/>
                <w:bCs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vertAlign w:val="baseline"/>
                <w:lang w:val="en-US"/>
              </w:rPr>
              <w:t>3</w:t>
            </w:r>
          </w:p>
        </w:tc>
        <w:tc>
          <w:tcPr>
            <w:tcW w:w="3767" w:type="dxa"/>
          </w:tcPr>
          <w:p>
            <w:pPr>
              <w:ind w:firstLine="980" w:firstLineChars="350"/>
              <w:rPr>
                <w:rFonts w:hint="default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b/>
                <w:bCs/>
                <w:sz w:val="28"/>
                <w:szCs w:val="28"/>
                <w:vertAlign w:val="baseline"/>
                <w:lang w:val="ru-RU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vertAlign w:val="baseline"/>
                <w:lang w:val="en-US"/>
              </w:rPr>
              <w:t>13</w:t>
            </w:r>
          </w:p>
        </w:tc>
        <w:tc>
          <w:tcPr>
            <w:tcW w:w="5696" w:type="dxa"/>
            <w:gridSpan w:val="2"/>
          </w:tcPr>
          <w:p>
            <w:pPr>
              <w:jc w:val="both"/>
              <w:rPr>
                <w:rFonts w:hint="default"/>
                <w:b/>
                <w:bCs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en-US"/>
              </w:rPr>
              <w:t>Le</w:t>
            </w:r>
            <w:r>
              <w:rPr>
                <w:rFonts w:hint="default"/>
                <w:b w:val="0"/>
                <w:bCs w:val="0"/>
                <w:i/>
                <w:iCs/>
                <w:sz w:val="28"/>
                <w:szCs w:val="28"/>
                <w:vertAlign w:val="baseline"/>
                <w:lang w:val="en-US"/>
              </w:rPr>
              <w:t xml:space="preserve"> Kazakhstan: sa situation geographique,son economie</w:t>
            </w:r>
          </w:p>
        </w:tc>
        <w:tc>
          <w:tcPr>
            <w:tcW w:w="3767" w:type="dxa"/>
          </w:tcPr>
          <w:p>
            <w:pPr>
              <w:ind w:firstLine="1261" w:firstLineChars="450"/>
              <w:rPr>
                <w:rFonts w:hint="default"/>
                <w:b/>
                <w:bCs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vertAlign w:val="baseline"/>
                <w:lang w:val="en-US"/>
              </w:rPr>
              <w:t>3</w:t>
            </w:r>
          </w:p>
        </w:tc>
        <w:tc>
          <w:tcPr>
            <w:tcW w:w="3767" w:type="dxa"/>
          </w:tcPr>
          <w:p>
            <w:pPr>
              <w:ind w:firstLine="980" w:firstLineChars="350"/>
              <w:rPr>
                <w:rFonts w:hint="default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b/>
                <w:bCs/>
                <w:sz w:val="28"/>
                <w:szCs w:val="28"/>
                <w:vertAlign w:val="baseline"/>
                <w:lang w:val="ru-RU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vertAlign w:val="baseline"/>
                <w:lang w:val="en-US"/>
              </w:rPr>
              <w:t>14</w:t>
            </w:r>
          </w:p>
        </w:tc>
        <w:tc>
          <w:tcPr>
            <w:tcW w:w="5696" w:type="dxa"/>
            <w:gridSpan w:val="2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/>
                <w:b w:val="0"/>
                <w:bCs w:val="0"/>
                <w:i/>
                <w:iCs/>
                <w:sz w:val="28"/>
                <w:szCs w:val="28"/>
                <w:vertAlign w:val="baseline"/>
                <w:lang w:val="en-US"/>
              </w:rPr>
              <w:t>Le Kazakhstan: sa situation geographique,son economie</w:t>
            </w:r>
          </w:p>
        </w:tc>
        <w:tc>
          <w:tcPr>
            <w:tcW w:w="3767" w:type="dxa"/>
          </w:tcPr>
          <w:p>
            <w:pPr>
              <w:ind w:firstLine="1261" w:firstLineChars="450"/>
              <w:rPr>
                <w:rFonts w:hint="default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b/>
                <w:bCs/>
                <w:sz w:val="28"/>
                <w:szCs w:val="28"/>
                <w:vertAlign w:val="baseline"/>
                <w:lang w:val="ru-RU"/>
              </w:rPr>
              <w:t>3</w:t>
            </w:r>
          </w:p>
        </w:tc>
        <w:tc>
          <w:tcPr>
            <w:tcW w:w="3767" w:type="dxa"/>
          </w:tcPr>
          <w:p>
            <w:pPr>
              <w:ind w:firstLine="980" w:firstLineChars="350"/>
              <w:rPr>
                <w:rFonts w:hint="default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b/>
                <w:bCs/>
                <w:sz w:val="28"/>
                <w:szCs w:val="28"/>
                <w:vertAlign w:val="baseline"/>
                <w:lang w:val="ru-RU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vertAlign w:val="baseline"/>
                <w:lang w:val="en-US"/>
              </w:rPr>
              <w:t>15</w:t>
            </w:r>
          </w:p>
        </w:tc>
        <w:tc>
          <w:tcPr>
            <w:tcW w:w="5696" w:type="dxa"/>
            <w:gridSpan w:val="2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vertAlign w:val="baseline"/>
                <w:lang w:val="en-US"/>
              </w:rPr>
              <w:t>Le travail de controle</w:t>
            </w:r>
          </w:p>
        </w:tc>
        <w:tc>
          <w:tcPr>
            <w:tcW w:w="3767" w:type="dxa"/>
          </w:tcPr>
          <w:p>
            <w:pPr>
              <w:ind w:firstLine="1261" w:firstLineChars="450"/>
              <w:rPr>
                <w:rFonts w:hint="default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b/>
                <w:bCs/>
                <w:sz w:val="28"/>
                <w:szCs w:val="28"/>
                <w:vertAlign w:val="baseline"/>
                <w:lang w:val="ru-RU"/>
              </w:rPr>
              <w:t>3</w:t>
            </w:r>
          </w:p>
        </w:tc>
        <w:tc>
          <w:tcPr>
            <w:tcW w:w="3767" w:type="dxa"/>
          </w:tcPr>
          <w:p>
            <w:pPr>
              <w:ind w:firstLine="980" w:firstLineChars="350"/>
              <w:rPr>
                <w:rFonts w:hint="default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b/>
                <w:bCs/>
                <w:sz w:val="28"/>
                <w:szCs w:val="28"/>
                <w:vertAlign w:val="baseline"/>
                <w:lang w:val="ru-RU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b/>
                <w:bCs/>
                <w:sz w:val="28"/>
                <w:szCs w:val="28"/>
                <w:vertAlign w:val="baseline"/>
                <w:lang w:val="ru-RU"/>
              </w:rPr>
              <w:t>РК 2</w:t>
            </w:r>
          </w:p>
        </w:tc>
        <w:tc>
          <w:tcPr>
            <w:tcW w:w="5696" w:type="dxa"/>
            <w:gridSpan w:val="2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ru-RU"/>
              </w:rPr>
            </w:pPr>
          </w:p>
        </w:tc>
        <w:tc>
          <w:tcPr>
            <w:tcW w:w="3767" w:type="dxa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ru-RU"/>
              </w:rPr>
            </w:pPr>
          </w:p>
        </w:tc>
        <w:tc>
          <w:tcPr>
            <w:tcW w:w="3767" w:type="dxa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ru-RU"/>
              </w:rPr>
            </w:pPr>
          </w:p>
        </w:tc>
      </w:tr>
    </w:tbl>
    <w:p>
      <w:pPr>
        <w:ind w:firstLine="4062" w:firstLineChars="1450"/>
        <w:rPr>
          <w:rFonts w:hint="default"/>
          <w:b/>
          <w:bCs/>
          <w:sz w:val="28"/>
          <w:szCs w:val="28"/>
          <w:lang w:val="ru-RU"/>
        </w:rPr>
      </w:pPr>
      <w:r>
        <w:rPr>
          <w:rFonts w:hint="default"/>
          <w:b/>
          <w:bCs/>
          <w:sz w:val="28"/>
          <w:szCs w:val="28"/>
          <w:lang w:val="ru-RU"/>
        </w:rPr>
        <w:t xml:space="preserve">                                                        </w:t>
      </w:r>
    </w:p>
    <w:p>
      <w:pPr>
        <w:ind w:firstLine="4062" w:firstLineChars="1450"/>
        <w:rPr>
          <w:rFonts w:hint="default"/>
          <w:b/>
          <w:bCs/>
          <w:sz w:val="28"/>
          <w:szCs w:val="28"/>
          <w:lang w:val="ru-RU"/>
        </w:rPr>
      </w:pPr>
      <w:r>
        <w:rPr>
          <w:rFonts w:hint="default"/>
          <w:b/>
          <w:bCs/>
          <w:sz w:val="28"/>
          <w:szCs w:val="28"/>
          <w:lang w:val="ru-RU"/>
        </w:rPr>
        <w:t xml:space="preserve">                                 </w:t>
      </w:r>
    </w:p>
    <w:p>
      <w:pPr>
        <w:ind w:left="7238" w:leftChars="3016" w:firstLine="11065" w:firstLineChars="3950"/>
        <w:rPr>
          <w:rFonts w:hint="default"/>
          <w:b/>
          <w:lang w:val="ru-RU"/>
        </w:rPr>
      </w:pPr>
      <w:r>
        <w:rPr>
          <w:rFonts w:hint="default"/>
          <w:b/>
          <w:bCs/>
          <w:sz w:val="28"/>
          <w:szCs w:val="28"/>
          <w:lang w:val="ru-RU"/>
        </w:rPr>
        <w:t xml:space="preserve"> Д</w:t>
      </w:r>
      <w:r>
        <w:rPr>
          <w:b/>
          <w:lang w:val="ru-RU"/>
        </w:rPr>
        <w:t>екан</w:t>
      </w:r>
      <w:r>
        <w:rPr>
          <w:rFonts w:hint="default"/>
          <w:b/>
          <w:lang w:val="ru-RU"/>
        </w:rPr>
        <w:t xml:space="preserve">______  Б.У.Джолдасбекова  </w:t>
      </w:r>
    </w:p>
    <w:p>
      <w:pPr>
        <w:ind w:firstLine="7324" w:firstLineChars="3050"/>
        <w:rPr>
          <w:rFonts w:hint="default"/>
          <w:b/>
          <w:bCs/>
          <w:lang w:val="ru-RU"/>
        </w:rPr>
      </w:pPr>
      <w:r>
        <w:rPr>
          <w:rFonts w:hint="default"/>
          <w:b/>
          <w:bCs/>
          <w:lang w:val="ru-RU"/>
        </w:rPr>
        <w:t xml:space="preserve">Заведующая кафедрой______  М.М.Аймагамбетова                       </w:t>
      </w:r>
    </w:p>
    <w:p>
      <w:pPr>
        <w:ind w:firstLine="7324" w:firstLineChars="3050"/>
        <w:rPr>
          <w:rFonts w:hint="default"/>
          <w:b/>
          <w:bCs/>
          <w:lang w:val="ru-RU"/>
        </w:rPr>
      </w:pPr>
      <w:r>
        <w:rPr>
          <w:rFonts w:hint="default"/>
          <w:b/>
          <w:bCs/>
          <w:lang w:val="ru-RU"/>
        </w:rPr>
        <w:t>Лектор_____ Ш.М.Макатаева</w:t>
      </w:r>
    </w:p>
    <w:p>
      <w:pPr>
        <w:ind w:firstLine="7324" w:firstLineChars="3050"/>
        <w:rPr>
          <w:rFonts w:hint="default"/>
          <w:b/>
          <w:bCs/>
          <w:lang w:val="ru-RU"/>
        </w:rPr>
      </w:pPr>
    </w:p>
    <w:p>
      <w:pPr>
        <w:ind w:left="22204" w:leftChars="6200" w:hanging="7324" w:hangingChars="3050"/>
        <w:rPr>
          <w:rFonts w:hint="default"/>
          <w:b/>
          <w:bCs/>
          <w:lang w:val="ru-RU"/>
        </w:rPr>
      </w:pPr>
      <w:r>
        <w:rPr>
          <w:rFonts w:hint="default"/>
          <w:b/>
          <w:bCs/>
          <w:lang w:val="ru-RU"/>
        </w:rPr>
        <w:t xml:space="preserve">                 ЛЛЛектор_________  Ш.М.Макатаева</w:t>
      </w:r>
    </w:p>
    <w:p>
      <w:pPr>
        <w:ind w:firstLine="6243" w:firstLineChars="2600"/>
        <w:rPr>
          <w:rFonts w:hint="default"/>
          <w:b/>
          <w:bCs/>
          <w:sz w:val="28"/>
          <w:szCs w:val="28"/>
          <w:lang w:val="ru-RU"/>
        </w:rPr>
      </w:pPr>
      <w:r>
        <w:rPr>
          <w:rFonts w:hint="default"/>
          <w:b/>
          <w:lang w:val="ru-RU"/>
        </w:rPr>
        <w:t xml:space="preserve">                                                                                                                         </w:t>
      </w:r>
    </w:p>
    <w:tbl>
      <w:tblPr>
        <w:tblStyle w:val="19"/>
        <w:tblpPr w:leftFromText="180" w:rightFromText="180" w:vertAnchor="text" w:tblpX="13037" w:tblpY="630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522" w:type="dxa"/>
            <w:tcBorders>
              <w:top w:val="nil"/>
              <w:left w:val="nil"/>
            </w:tcBorders>
          </w:tcPr>
          <w:p>
            <w:pPr>
              <w:rPr>
                <w:sz w:val="20"/>
                <w:szCs w:val="20"/>
                <w:vertAlign w:val="baseline"/>
                <w:lang w:val="kk-KZ"/>
              </w:rPr>
            </w:pPr>
          </w:p>
        </w:tc>
      </w:tr>
    </w:tbl>
    <w:p>
      <w:pPr>
        <w:rPr>
          <w:sz w:val="20"/>
          <w:szCs w:val="20"/>
          <w:lang w:val="kk-KZ"/>
        </w:rPr>
      </w:pPr>
    </w:p>
    <w:p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fr-FR"/>
        </w:rPr>
      </w:pPr>
    </w:p>
    <w:p>
      <w:pPr>
        <w:rPr>
          <w:sz w:val="20"/>
          <w:szCs w:val="20"/>
          <w:lang w:val="kk-KZ"/>
        </w:rPr>
      </w:pPr>
    </w:p>
    <w:p>
      <w:pPr>
        <w:contextualSpacing/>
        <w:jc w:val="both"/>
        <w:rPr>
          <w:b/>
          <w:i/>
          <w:vertAlign w:val="baseline"/>
          <w:lang w:val="kk-KZ"/>
        </w:rPr>
      </w:pPr>
      <w:r>
        <w:rPr>
          <w:b/>
        </w:rPr>
        <w:t xml:space="preserve">    </w:t>
      </w:r>
    </w:p>
    <w:p>
      <w:pPr>
        <w:contextualSpacing/>
        <w:jc w:val="both"/>
        <w:rPr>
          <w:b/>
          <w:i/>
          <w:lang w:val="kk-KZ"/>
        </w:rPr>
      </w:pPr>
    </w:p>
    <w:p>
      <w:pPr>
        <w:contextualSpacing/>
        <w:jc w:val="both"/>
        <w:rPr>
          <w:b/>
        </w:rPr>
      </w:pPr>
    </w:p>
    <w:p>
      <w:pPr>
        <w:ind w:firstLine="6243" w:firstLineChars="2600"/>
        <w:rPr>
          <w:rFonts w:hint="default"/>
          <w:b/>
          <w:bCs/>
          <w:lang w:val="ru-RU"/>
        </w:rPr>
      </w:pPr>
      <w:r>
        <w:rPr>
          <w:b/>
          <w:lang w:val="ru-RU"/>
        </w:rPr>
        <w:t>Декан</w:t>
      </w:r>
      <w:r>
        <w:rPr>
          <w:rFonts w:hint="default"/>
          <w:b/>
          <w:lang w:val="ru-RU"/>
        </w:rPr>
        <w:t>______Б.У.Джолдасбекова</w:t>
      </w:r>
      <w:r>
        <w:rPr>
          <w:b/>
        </w:rPr>
        <w:tab/>
      </w:r>
      <w:r>
        <w:rPr>
          <w:rFonts w:hint="default"/>
          <w:b/>
          <w:lang w:val="ru-RU"/>
        </w:rPr>
        <w:t xml:space="preserve">     </w:t>
      </w:r>
    </w:p>
    <w:p>
      <w:pPr>
        <w:ind w:left="14767" w:hanging="14767" w:hangingChars="6150"/>
        <w:rPr>
          <w:rFonts w:hint="default"/>
          <w:b/>
          <w:bCs/>
          <w:lang w:val="ru-RU"/>
        </w:rPr>
      </w:pPr>
    </w:p>
    <w:p>
      <w:pPr>
        <w:ind w:left="17886" w:leftChars="2600" w:hanging="11646" w:hangingChars="4850"/>
        <w:rPr>
          <w:rFonts w:hint="default"/>
          <w:b/>
          <w:bCs/>
          <w:lang w:val="ru-RU"/>
        </w:rPr>
      </w:pPr>
      <w:r>
        <w:rPr>
          <w:rFonts w:hint="default"/>
          <w:b/>
          <w:bCs/>
          <w:lang w:val="ru-RU"/>
        </w:rPr>
        <w:t>Заведующая кафедрой______М.М.Аймагамбетова</w:t>
      </w:r>
    </w:p>
    <w:p>
      <w:pPr>
        <w:ind w:left="14767" w:hanging="14767" w:hangingChars="6150"/>
        <w:rPr>
          <w:rFonts w:hint="default"/>
          <w:b/>
          <w:bCs/>
          <w:lang w:val="ru-RU"/>
        </w:rPr>
      </w:pPr>
    </w:p>
    <w:p>
      <w:pPr>
        <w:ind w:left="14767" w:hanging="14767" w:hangingChars="6150"/>
        <w:rPr>
          <w:rFonts w:hint="default"/>
          <w:b/>
          <w:bCs/>
          <w:lang w:val="ru-RU"/>
        </w:rPr>
      </w:pPr>
    </w:p>
    <w:p>
      <w:pPr>
        <w:ind w:firstLine="6243" w:firstLineChars="2600"/>
        <w:rPr>
          <w:rFonts w:hint="default"/>
          <w:b/>
          <w:bCs/>
          <w:lang w:val="ru-RU"/>
        </w:rPr>
      </w:pPr>
      <w:r>
        <w:rPr>
          <w:rFonts w:hint="default"/>
          <w:b/>
          <w:bCs/>
          <w:lang w:val="ru-RU"/>
        </w:rPr>
        <w:t>Лектор_____Ш.М.Макатаева</w:t>
      </w:r>
    </w:p>
    <w:p>
      <w:pPr>
        <w:ind w:left="14767" w:hanging="14767" w:hangingChars="6150"/>
        <w:rPr>
          <w:rFonts w:hint="default"/>
          <w:b/>
          <w:bCs/>
          <w:lang w:val="ru-RU"/>
        </w:rPr>
      </w:pPr>
    </w:p>
    <w:p>
      <w:pPr>
        <w:ind w:left="14767" w:hanging="14767" w:hangingChars="6150"/>
        <w:rPr>
          <w:rFonts w:hint="default"/>
          <w:b/>
          <w:bCs/>
          <w:lang w:val="ru-RU"/>
        </w:rPr>
      </w:pPr>
    </w:p>
    <w:p>
      <w:pPr>
        <w:ind w:left="14767" w:hanging="14767" w:hangingChars="6150"/>
        <w:rPr>
          <w:rFonts w:hint="default"/>
          <w:b/>
          <w:bCs/>
          <w:lang w:val="ru-RU"/>
        </w:rPr>
      </w:pPr>
    </w:p>
    <w:p>
      <w:pPr>
        <w:ind w:left="14767" w:hanging="14767" w:hangingChars="6150"/>
        <w:rPr>
          <w:rFonts w:hint="default"/>
          <w:b/>
          <w:bCs/>
          <w:lang w:val="ru-RU"/>
        </w:rPr>
      </w:pPr>
    </w:p>
    <w:p>
      <w:pPr>
        <w:ind w:left="14767" w:hanging="14767" w:hangingChars="6150"/>
        <w:rPr>
          <w:rFonts w:hint="default"/>
          <w:b/>
          <w:bCs/>
          <w:lang w:val="ru-RU"/>
        </w:rPr>
      </w:pPr>
    </w:p>
    <w:p>
      <w:pPr>
        <w:ind w:left="14767" w:hanging="14767" w:hangingChars="6150"/>
        <w:rPr>
          <w:rFonts w:hint="default"/>
          <w:b/>
          <w:bCs/>
          <w:lang w:val="ru-RU"/>
        </w:rPr>
      </w:pPr>
    </w:p>
    <w:p>
      <w:pPr>
        <w:ind w:left="14767" w:hanging="14767" w:hangingChars="6150"/>
        <w:rPr>
          <w:rFonts w:hint="default"/>
          <w:b/>
          <w:bCs/>
          <w:lang w:val="ru-RU"/>
        </w:rPr>
      </w:pPr>
    </w:p>
    <w:p>
      <w:pPr>
        <w:ind w:left="14767" w:hanging="14767" w:hangingChars="6150"/>
        <w:rPr>
          <w:rFonts w:hint="default"/>
          <w:b/>
          <w:bCs/>
          <w:lang w:val="en-US"/>
        </w:rPr>
      </w:pPr>
    </w:p>
    <w:sectPr>
      <w:footerReference r:id="rId3" w:type="default"/>
      <w:pgSz w:w="16838" w:h="11906" w:orient="landscape"/>
      <w:pgMar w:top="850" w:right="1418" w:bottom="1701" w:left="568" w:header="708" w:footer="708" w:gutter="0"/>
      <w:pgNumType w:fmt="decimal" w:start="1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Georgia">
    <w:panose1 w:val="02040502050405020303"/>
    <w:charset w:val="CC"/>
    <w:family w:val="roman"/>
    <w:pitch w:val="default"/>
    <w:sig w:usb0="00000287" w:usb1="00000000" w:usb2="00000000" w:usb3="00000000" w:csb0="200000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widowControl/>
      <w:autoSpaceDE/>
      <w:autoSpaceDN/>
      <w:jc w:val="both"/>
    </w:pPr>
    <w:r>
      <w:rPr>
        <w:rFonts w:hint="default"/>
        <w:b/>
        <w:bCs/>
        <w:lang w:val="en-US"/>
      </w:rPr>
      <w:t xml:space="preserve">                                         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993162"/>
    <w:multiLevelType w:val="singleLevel"/>
    <w:tmpl w:val="22993162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5BA05DFD"/>
    <w:multiLevelType w:val="multilevel"/>
    <w:tmpl w:val="5BA05DFD"/>
    <w:lvl w:ilvl="0" w:tentative="0">
      <w:start w:val="1"/>
      <w:numFmt w:val="decimal"/>
      <w:lvlText w:val="%1."/>
      <w:lvlJc w:val="left"/>
      <w:pPr>
        <w:ind w:left="847" w:hanging="360"/>
      </w:pPr>
    </w:lvl>
    <w:lvl w:ilvl="1" w:tentative="0">
      <w:start w:val="1"/>
      <w:numFmt w:val="lowerLetter"/>
      <w:lvlText w:val="%2."/>
      <w:lvlJc w:val="left"/>
      <w:pPr>
        <w:ind w:left="1646" w:hanging="360"/>
      </w:pPr>
    </w:lvl>
    <w:lvl w:ilvl="2" w:tentative="0">
      <w:start w:val="1"/>
      <w:numFmt w:val="lowerRoman"/>
      <w:lvlText w:val="%3."/>
      <w:lvlJc w:val="right"/>
      <w:pPr>
        <w:ind w:left="2366" w:hanging="180"/>
      </w:pPr>
    </w:lvl>
    <w:lvl w:ilvl="3" w:tentative="0">
      <w:start w:val="1"/>
      <w:numFmt w:val="decimal"/>
      <w:lvlText w:val="%4."/>
      <w:lvlJc w:val="left"/>
      <w:pPr>
        <w:ind w:left="3086" w:hanging="360"/>
      </w:pPr>
    </w:lvl>
    <w:lvl w:ilvl="4" w:tentative="0">
      <w:start w:val="1"/>
      <w:numFmt w:val="lowerLetter"/>
      <w:lvlText w:val="%5."/>
      <w:lvlJc w:val="left"/>
      <w:pPr>
        <w:ind w:left="3806" w:hanging="360"/>
      </w:pPr>
    </w:lvl>
    <w:lvl w:ilvl="5" w:tentative="0">
      <w:start w:val="1"/>
      <w:numFmt w:val="lowerRoman"/>
      <w:lvlText w:val="%6."/>
      <w:lvlJc w:val="right"/>
      <w:pPr>
        <w:ind w:left="4526" w:hanging="180"/>
      </w:pPr>
    </w:lvl>
    <w:lvl w:ilvl="6" w:tentative="0">
      <w:start w:val="1"/>
      <w:numFmt w:val="decimal"/>
      <w:lvlText w:val="%7."/>
      <w:lvlJc w:val="left"/>
      <w:pPr>
        <w:ind w:left="5246" w:hanging="360"/>
      </w:pPr>
    </w:lvl>
    <w:lvl w:ilvl="7" w:tentative="0">
      <w:start w:val="1"/>
      <w:numFmt w:val="lowerLetter"/>
      <w:lvlText w:val="%8."/>
      <w:lvlJc w:val="left"/>
      <w:pPr>
        <w:ind w:left="5966" w:hanging="360"/>
      </w:pPr>
    </w:lvl>
    <w:lvl w:ilvl="8" w:tentative="0">
      <w:start w:val="1"/>
      <w:numFmt w:val="lowerRoman"/>
      <w:lvlText w:val="%9."/>
      <w:lvlJc w:val="right"/>
      <w:pPr>
        <w:ind w:left="668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4786"/>
    <w:rsid w:val="0003132B"/>
    <w:rsid w:val="00033BCF"/>
    <w:rsid w:val="00035CC8"/>
    <w:rsid w:val="00051A37"/>
    <w:rsid w:val="00051A4E"/>
    <w:rsid w:val="000544CE"/>
    <w:rsid w:val="00055CD8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768C"/>
    <w:rsid w:val="000C29CE"/>
    <w:rsid w:val="000C2E1B"/>
    <w:rsid w:val="000C68BD"/>
    <w:rsid w:val="000E048B"/>
    <w:rsid w:val="000E1A39"/>
    <w:rsid w:val="000E3AA2"/>
    <w:rsid w:val="000E3B00"/>
    <w:rsid w:val="000E5A3B"/>
    <w:rsid w:val="000E7B93"/>
    <w:rsid w:val="000F0ACE"/>
    <w:rsid w:val="000F2D2E"/>
    <w:rsid w:val="0010667E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7B3E"/>
    <w:rsid w:val="001A1046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D34DC"/>
    <w:rsid w:val="001D4997"/>
    <w:rsid w:val="001E1E8B"/>
    <w:rsid w:val="001E724B"/>
    <w:rsid w:val="001F0AF5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76366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E28AC"/>
    <w:rsid w:val="002E6297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23280"/>
    <w:rsid w:val="00323908"/>
    <w:rsid w:val="00330851"/>
    <w:rsid w:val="00334A17"/>
    <w:rsid w:val="00337B25"/>
    <w:rsid w:val="0034309A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4CD8"/>
    <w:rsid w:val="00385F64"/>
    <w:rsid w:val="003962E9"/>
    <w:rsid w:val="003A4E0C"/>
    <w:rsid w:val="003A64E4"/>
    <w:rsid w:val="003B4589"/>
    <w:rsid w:val="003B57C0"/>
    <w:rsid w:val="003B65F5"/>
    <w:rsid w:val="003C08C9"/>
    <w:rsid w:val="003C1155"/>
    <w:rsid w:val="003C29AA"/>
    <w:rsid w:val="003C747F"/>
    <w:rsid w:val="003D0455"/>
    <w:rsid w:val="003D4B0A"/>
    <w:rsid w:val="003D69B3"/>
    <w:rsid w:val="003E6760"/>
    <w:rsid w:val="003E6E0D"/>
    <w:rsid w:val="003F0CE9"/>
    <w:rsid w:val="003F2DC5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235C"/>
    <w:rsid w:val="0042039B"/>
    <w:rsid w:val="0042498E"/>
    <w:rsid w:val="0042572E"/>
    <w:rsid w:val="004260D0"/>
    <w:rsid w:val="00430D42"/>
    <w:rsid w:val="004314BD"/>
    <w:rsid w:val="00434B98"/>
    <w:rsid w:val="00441994"/>
    <w:rsid w:val="00444557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A52AB"/>
    <w:rsid w:val="004B336E"/>
    <w:rsid w:val="004B4F12"/>
    <w:rsid w:val="004B5D2B"/>
    <w:rsid w:val="004C6373"/>
    <w:rsid w:val="004C6A23"/>
    <w:rsid w:val="004D1D6C"/>
    <w:rsid w:val="004D4F2C"/>
    <w:rsid w:val="004E7FA2"/>
    <w:rsid w:val="004F291E"/>
    <w:rsid w:val="004F3CB8"/>
    <w:rsid w:val="004F55A8"/>
    <w:rsid w:val="004F5EF4"/>
    <w:rsid w:val="004F7692"/>
    <w:rsid w:val="00501106"/>
    <w:rsid w:val="00501B29"/>
    <w:rsid w:val="00517B82"/>
    <w:rsid w:val="00530C39"/>
    <w:rsid w:val="005326DC"/>
    <w:rsid w:val="00533B39"/>
    <w:rsid w:val="0053541C"/>
    <w:rsid w:val="00541947"/>
    <w:rsid w:val="00541D7F"/>
    <w:rsid w:val="00550A65"/>
    <w:rsid w:val="005521D3"/>
    <w:rsid w:val="005563D0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69F9"/>
    <w:rsid w:val="005C0EF6"/>
    <w:rsid w:val="005C26DF"/>
    <w:rsid w:val="005C5690"/>
    <w:rsid w:val="005C6EFD"/>
    <w:rsid w:val="005D3CC1"/>
    <w:rsid w:val="005E1BEA"/>
    <w:rsid w:val="005E2FF8"/>
    <w:rsid w:val="005E7456"/>
    <w:rsid w:val="005F0F19"/>
    <w:rsid w:val="005F518B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740E"/>
    <w:rsid w:val="0063525E"/>
    <w:rsid w:val="006401F6"/>
    <w:rsid w:val="006422ED"/>
    <w:rsid w:val="00642A24"/>
    <w:rsid w:val="006468A7"/>
    <w:rsid w:val="00646DE8"/>
    <w:rsid w:val="0065005D"/>
    <w:rsid w:val="00654657"/>
    <w:rsid w:val="0066131E"/>
    <w:rsid w:val="00662A00"/>
    <w:rsid w:val="00665224"/>
    <w:rsid w:val="00665B00"/>
    <w:rsid w:val="00665FD2"/>
    <w:rsid w:val="00674512"/>
    <w:rsid w:val="00675424"/>
    <w:rsid w:val="00677687"/>
    <w:rsid w:val="00683317"/>
    <w:rsid w:val="00685FBA"/>
    <w:rsid w:val="0069629C"/>
    <w:rsid w:val="00697944"/>
    <w:rsid w:val="006A5501"/>
    <w:rsid w:val="006A6C8C"/>
    <w:rsid w:val="006A7FC8"/>
    <w:rsid w:val="006B63EB"/>
    <w:rsid w:val="006C08B9"/>
    <w:rsid w:val="006C2B71"/>
    <w:rsid w:val="006C56C2"/>
    <w:rsid w:val="006D70F3"/>
    <w:rsid w:val="006E0CA9"/>
    <w:rsid w:val="006E44D0"/>
    <w:rsid w:val="006F0081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3DFF"/>
    <w:rsid w:val="007271BF"/>
    <w:rsid w:val="007451BB"/>
    <w:rsid w:val="00750D6B"/>
    <w:rsid w:val="00752D2A"/>
    <w:rsid w:val="00753B50"/>
    <w:rsid w:val="00753C90"/>
    <w:rsid w:val="00756415"/>
    <w:rsid w:val="00757123"/>
    <w:rsid w:val="00775307"/>
    <w:rsid w:val="0077543C"/>
    <w:rsid w:val="0078340B"/>
    <w:rsid w:val="00792E68"/>
    <w:rsid w:val="00796885"/>
    <w:rsid w:val="007A26C4"/>
    <w:rsid w:val="007A68F5"/>
    <w:rsid w:val="007B6A6C"/>
    <w:rsid w:val="007C220D"/>
    <w:rsid w:val="007C3AF9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60F"/>
    <w:rsid w:val="008172FE"/>
    <w:rsid w:val="00820CCC"/>
    <w:rsid w:val="00821976"/>
    <w:rsid w:val="0082339C"/>
    <w:rsid w:val="00830F23"/>
    <w:rsid w:val="008358C3"/>
    <w:rsid w:val="00844D39"/>
    <w:rsid w:val="0084687B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A3D64"/>
    <w:rsid w:val="008B49DF"/>
    <w:rsid w:val="008B6044"/>
    <w:rsid w:val="008C05E2"/>
    <w:rsid w:val="008C07FC"/>
    <w:rsid w:val="008C1D71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65F1"/>
    <w:rsid w:val="008F7138"/>
    <w:rsid w:val="00902A88"/>
    <w:rsid w:val="009126C0"/>
    <w:rsid w:val="00916B94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71713"/>
    <w:rsid w:val="0097441F"/>
    <w:rsid w:val="009746F5"/>
    <w:rsid w:val="00977EC4"/>
    <w:rsid w:val="00986A7D"/>
    <w:rsid w:val="009930CB"/>
    <w:rsid w:val="0099766F"/>
    <w:rsid w:val="009A44E4"/>
    <w:rsid w:val="009B6838"/>
    <w:rsid w:val="009B7F2B"/>
    <w:rsid w:val="009C0E8D"/>
    <w:rsid w:val="009C1790"/>
    <w:rsid w:val="009C29E7"/>
    <w:rsid w:val="009E2A95"/>
    <w:rsid w:val="009E52CB"/>
    <w:rsid w:val="009E6ECA"/>
    <w:rsid w:val="009E72A8"/>
    <w:rsid w:val="009F42A4"/>
    <w:rsid w:val="00A02A85"/>
    <w:rsid w:val="00A04790"/>
    <w:rsid w:val="00A06AE9"/>
    <w:rsid w:val="00A10160"/>
    <w:rsid w:val="00A20B1F"/>
    <w:rsid w:val="00A22D92"/>
    <w:rsid w:val="00A24027"/>
    <w:rsid w:val="00A26160"/>
    <w:rsid w:val="00A315B8"/>
    <w:rsid w:val="00A35D07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B3F"/>
    <w:rsid w:val="00A60557"/>
    <w:rsid w:val="00A61135"/>
    <w:rsid w:val="00A615CB"/>
    <w:rsid w:val="00A64305"/>
    <w:rsid w:val="00A71530"/>
    <w:rsid w:val="00A72D3C"/>
    <w:rsid w:val="00A74824"/>
    <w:rsid w:val="00A77510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D337E"/>
    <w:rsid w:val="00AD6B19"/>
    <w:rsid w:val="00AF327F"/>
    <w:rsid w:val="00AF3F8F"/>
    <w:rsid w:val="00B01DD6"/>
    <w:rsid w:val="00B04479"/>
    <w:rsid w:val="00B05314"/>
    <w:rsid w:val="00B057C0"/>
    <w:rsid w:val="00B143AA"/>
    <w:rsid w:val="00B16817"/>
    <w:rsid w:val="00B20215"/>
    <w:rsid w:val="00B2541F"/>
    <w:rsid w:val="00B2590C"/>
    <w:rsid w:val="00B344A6"/>
    <w:rsid w:val="00B37BBB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62FC"/>
    <w:rsid w:val="00BB1114"/>
    <w:rsid w:val="00BB32DC"/>
    <w:rsid w:val="00BB6584"/>
    <w:rsid w:val="00BC4476"/>
    <w:rsid w:val="00BD09CB"/>
    <w:rsid w:val="00BD6DA7"/>
    <w:rsid w:val="00BE20D8"/>
    <w:rsid w:val="00BE3F4E"/>
    <w:rsid w:val="00BF4583"/>
    <w:rsid w:val="00C002F1"/>
    <w:rsid w:val="00C037E1"/>
    <w:rsid w:val="00C03EF1"/>
    <w:rsid w:val="00C055D3"/>
    <w:rsid w:val="00C119D6"/>
    <w:rsid w:val="00C13132"/>
    <w:rsid w:val="00C21EA1"/>
    <w:rsid w:val="00C25D1C"/>
    <w:rsid w:val="00C323E6"/>
    <w:rsid w:val="00C41C08"/>
    <w:rsid w:val="00C46CAD"/>
    <w:rsid w:val="00C51662"/>
    <w:rsid w:val="00C56EA8"/>
    <w:rsid w:val="00C6051D"/>
    <w:rsid w:val="00C60C1D"/>
    <w:rsid w:val="00C72C62"/>
    <w:rsid w:val="00C813D6"/>
    <w:rsid w:val="00C813DA"/>
    <w:rsid w:val="00C8267A"/>
    <w:rsid w:val="00C86741"/>
    <w:rsid w:val="00C92FAF"/>
    <w:rsid w:val="00C96A05"/>
    <w:rsid w:val="00CA24E6"/>
    <w:rsid w:val="00CA458D"/>
    <w:rsid w:val="00CA4B30"/>
    <w:rsid w:val="00CB5A3B"/>
    <w:rsid w:val="00CC2911"/>
    <w:rsid w:val="00CC483F"/>
    <w:rsid w:val="00CC59D8"/>
    <w:rsid w:val="00CD7587"/>
    <w:rsid w:val="00CE5FA3"/>
    <w:rsid w:val="00CE642C"/>
    <w:rsid w:val="00CF26E9"/>
    <w:rsid w:val="00D045E1"/>
    <w:rsid w:val="00D05162"/>
    <w:rsid w:val="00D07190"/>
    <w:rsid w:val="00D16061"/>
    <w:rsid w:val="00D204B8"/>
    <w:rsid w:val="00D2334A"/>
    <w:rsid w:val="00D33690"/>
    <w:rsid w:val="00D356BA"/>
    <w:rsid w:val="00D36DBD"/>
    <w:rsid w:val="00D36E98"/>
    <w:rsid w:val="00D40411"/>
    <w:rsid w:val="00D42861"/>
    <w:rsid w:val="00D4478E"/>
    <w:rsid w:val="00D534C1"/>
    <w:rsid w:val="00D6269D"/>
    <w:rsid w:val="00D62CCA"/>
    <w:rsid w:val="00D73188"/>
    <w:rsid w:val="00D765EC"/>
    <w:rsid w:val="00D82A1B"/>
    <w:rsid w:val="00D82B17"/>
    <w:rsid w:val="00D85871"/>
    <w:rsid w:val="00D86236"/>
    <w:rsid w:val="00D90B92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11617"/>
    <w:rsid w:val="00E15E62"/>
    <w:rsid w:val="00E17B49"/>
    <w:rsid w:val="00E206A8"/>
    <w:rsid w:val="00E24413"/>
    <w:rsid w:val="00E24B76"/>
    <w:rsid w:val="00E27026"/>
    <w:rsid w:val="00E37BD9"/>
    <w:rsid w:val="00E4280D"/>
    <w:rsid w:val="00E4282B"/>
    <w:rsid w:val="00E51410"/>
    <w:rsid w:val="00E526F4"/>
    <w:rsid w:val="00E55C26"/>
    <w:rsid w:val="00E56DA6"/>
    <w:rsid w:val="00E56F4F"/>
    <w:rsid w:val="00E607F2"/>
    <w:rsid w:val="00E62139"/>
    <w:rsid w:val="00E70542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B165C"/>
    <w:rsid w:val="00EB5722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F0873"/>
    <w:rsid w:val="00EF08C9"/>
    <w:rsid w:val="00EF2040"/>
    <w:rsid w:val="00EF5665"/>
    <w:rsid w:val="00F0368A"/>
    <w:rsid w:val="00F05A09"/>
    <w:rsid w:val="00F06902"/>
    <w:rsid w:val="00F10360"/>
    <w:rsid w:val="00F11D68"/>
    <w:rsid w:val="00F13CFE"/>
    <w:rsid w:val="00F15560"/>
    <w:rsid w:val="00F20A5E"/>
    <w:rsid w:val="00F272EF"/>
    <w:rsid w:val="00F30DE3"/>
    <w:rsid w:val="00F33386"/>
    <w:rsid w:val="00F3540B"/>
    <w:rsid w:val="00F3757E"/>
    <w:rsid w:val="00F50C75"/>
    <w:rsid w:val="00F530A0"/>
    <w:rsid w:val="00F5360E"/>
    <w:rsid w:val="00F553C1"/>
    <w:rsid w:val="00F56189"/>
    <w:rsid w:val="00F6159D"/>
    <w:rsid w:val="00F65683"/>
    <w:rsid w:val="00F71859"/>
    <w:rsid w:val="00F76949"/>
    <w:rsid w:val="00F80213"/>
    <w:rsid w:val="00F8439E"/>
    <w:rsid w:val="00F84930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D0FA8"/>
    <w:rsid w:val="00FD34D0"/>
    <w:rsid w:val="00FD5226"/>
    <w:rsid w:val="00FD67A1"/>
    <w:rsid w:val="00FE6E28"/>
    <w:rsid w:val="03F259B1"/>
    <w:rsid w:val="05971990"/>
    <w:rsid w:val="08A45159"/>
    <w:rsid w:val="14FA27D9"/>
    <w:rsid w:val="185042DF"/>
    <w:rsid w:val="270E4B8B"/>
    <w:rsid w:val="280E640F"/>
    <w:rsid w:val="2AEB2CE2"/>
    <w:rsid w:val="2CE5D884"/>
    <w:rsid w:val="2E2DA889"/>
    <w:rsid w:val="32467FF6"/>
    <w:rsid w:val="33E32E64"/>
    <w:rsid w:val="36C309FF"/>
    <w:rsid w:val="3C3D0F13"/>
    <w:rsid w:val="3C5D747E"/>
    <w:rsid w:val="416217D9"/>
    <w:rsid w:val="56E9367D"/>
    <w:rsid w:val="594D7AEF"/>
    <w:rsid w:val="5BA66E7F"/>
    <w:rsid w:val="5CAC030C"/>
    <w:rsid w:val="68D17954"/>
    <w:rsid w:val="70682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40" w:after="40"/>
      <w:outlineLvl w:val="3"/>
    </w:pPr>
    <w:rPr>
      <w:b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qFormat/>
    <w:uiPriority w:val="99"/>
    <w:rPr>
      <w:rFonts w:cs="Times New Roman"/>
      <w:color w:val="auto"/>
      <w:u w:val="none"/>
    </w:rPr>
  </w:style>
  <w:style w:type="character" w:styleId="11">
    <w:name w:val="Strong"/>
    <w:qFormat/>
    <w:uiPriority w:val="0"/>
    <w:rPr>
      <w:b/>
      <w:bCs/>
    </w:rPr>
  </w:style>
  <w:style w:type="paragraph" w:styleId="12">
    <w:name w:val="Balloon Text"/>
    <w:basedOn w:val="1"/>
    <w:link w:val="38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13">
    <w:name w:val="header"/>
    <w:basedOn w:val="1"/>
    <w:link w:val="39"/>
    <w:unhideWhenUsed/>
    <w:qFormat/>
    <w:uiPriority w:val="99"/>
    <w:pPr>
      <w:tabs>
        <w:tab w:val="center" w:pos="4677"/>
        <w:tab w:val="right" w:pos="9355"/>
      </w:tabs>
    </w:pPr>
  </w:style>
  <w:style w:type="paragraph" w:styleId="14">
    <w:name w:val="Body Text"/>
    <w:basedOn w:val="1"/>
    <w:qFormat/>
    <w:uiPriority w:val="1"/>
    <w:pPr>
      <w:widowControl w:val="0"/>
      <w:autoSpaceDE w:val="0"/>
      <w:autoSpaceDN w:val="0"/>
    </w:pPr>
    <w:rPr>
      <w:sz w:val="28"/>
      <w:szCs w:val="28"/>
      <w:lang w:bidi="ru-RU"/>
    </w:rPr>
  </w:style>
  <w:style w:type="paragraph" w:styleId="15">
    <w:name w:val="Title"/>
    <w:basedOn w:val="1"/>
    <w:next w:val="1"/>
    <w:qFormat/>
    <w:uiPriority w:val="0"/>
    <w:pPr>
      <w:keepNext/>
      <w:keepLines/>
      <w:spacing w:before="480" w:after="120"/>
    </w:pPr>
    <w:rPr>
      <w:b/>
      <w:sz w:val="72"/>
      <w:szCs w:val="72"/>
    </w:rPr>
  </w:style>
  <w:style w:type="paragraph" w:styleId="16">
    <w:name w:val="footer"/>
    <w:basedOn w:val="1"/>
    <w:link w:val="40"/>
    <w:unhideWhenUsed/>
    <w:qFormat/>
    <w:uiPriority w:val="99"/>
    <w:pPr>
      <w:tabs>
        <w:tab w:val="center" w:pos="4677"/>
        <w:tab w:val="right" w:pos="9355"/>
      </w:tabs>
    </w:pPr>
  </w:style>
  <w:style w:type="paragraph" w:styleId="17">
    <w:name w:val="Normal (Web)"/>
    <w:basedOn w:val="1"/>
    <w:semiHidden/>
    <w:unhideWhenUsed/>
    <w:qFormat/>
    <w:uiPriority w:val="99"/>
    <w:pPr>
      <w:spacing w:before="100" w:beforeAutospacing="1" w:after="100" w:afterAutospacing="1"/>
    </w:pPr>
    <w:rPr>
      <w:lang w:eastAsia="ru-RU"/>
    </w:rPr>
  </w:style>
  <w:style w:type="paragraph" w:styleId="18">
    <w:name w:val="Subtitle"/>
    <w:basedOn w:val="1"/>
    <w:next w:val="1"/>
    <w:qFormat/>
    <w:uiPriority w:val="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19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20">
    <w:name w:val="paragraph"/>
    <w:basedOn w:val="1"/>
    <w:qFormat/>
    <w:uiPriority w:val="0"/>
    <w:pPr>
      <w:spacing w:before="100" w:beforeAutospacing="1" w:after="100" w:afterAutospacing="1"/>
    </w:pPr>
    <w:rPr>
      <w:lang w:eastAsia="ru-RU"/>
    </w:rPr>
  </w:style>
  <w:style w:type="table" w:customStyle="1" w:styleId="21">
    <w:name w:val="_Style 12"/>
    <w:basedOn w:val="9"/>
    <w:qFormat/>
    <w:uiPriority w:val="0"/>
    <w:tblPr>
      <w:tblCellMar>
        <w:left w:w="115" w:type="dxa"/>
        <w:right w:w="115" w:type="dxa"/>
      </w:tblCellMar>
    </w:tblPr>
  </w:style>
  <w:style w:type="table" w:customStyle="1" w:styleId="22">
    <w:name w:val="_Style 13"/>
    <w:basedOn w:val="9"/>
    <w:qFormat/>
    <w:uiPriority w:val="0"/>
    <w:tblPr>
      <w:tblCellMar>
        <w:left w:w="115" w:type="dxa"/>
        <w:right w:w="115" w:type="dxa"/>
      </w:tblCellMar>
    </w:tblPr>
  </w:style>
  <w:style w:type="table" w:customStyle="1" w:styleId="23">
    <w:name w:val="_Style 14"/>
    <w:basedOn w:val="9"/>
    <w:qFormat/>
    <w:uiPriority w:val="0"/>
    <w:tblPr>
      <w:tblCellMar>
        <w:left w:w="115" w:type="dxa"/>
        <w:right w:w="115" w:type="dxa"/>
      </w:tblCellMar>
    </w:tblPr>
  </w:style>
  <w:style w:type="table" w:customStyle="1" w:styleId="24">
    <w:name w:val="_Style 15"/>
    <w:basedOn w:val="9"/>
    <w:qFormat/>
    <w:uiPriority w:val="0"/>
    <w:tblPr>
      <w:tblCellMar>
        <w:left w:w="115" w:type="dxa"/>
        <w:right w:w="115" w:type="dxa"/>
      </w:tblCellMar>
    </w:tblPr>
  </w:style>
  <w:style w:type="table" w:customStyle="1" w:styleId="25">
    <w:name w:val="_Style 16"/>
    <w:basedOn w:val="9"/>
    <w:qFormat/>
    <w:uiPriority w:val="0"/>
    <w:tblPr>
      <w:tblCellMar>
        <w:left w:w="115" w:type="dxa"/>
        <w:right w:w="115" w:type="dxa"/>
      </w:tblCellMar>
    </w:tblPr>
  </w:style>
  <w:style w:type="table" w:customStyle="1" w:styleId="26">
    <w:name w:val="_Style 17"/>
    <w:basedOn w:val="9"/>
    <w:qFormat/>
    <w:uiPriority w:val="0"/>
    <w:rPr>
      <w:sz w:val="20"/>
      <w:szCs w:val="20"/>
    </w:rPr>
  </w:style>
  <w:style w:type="table" w:customStyle="1" w:styleId="27">
    <w:name w:val="_Style 18"/>
    <w:basedOn w:val="9"/>
    <w:qFormat/>
    <w:uiPriority w:val="0"/>
    <w:tblPr>
      <w:tblCellMar>
        <w:left w:w="115" w:type="dxa"/>
        <w:right w:w="115" w:type="dxa"/>
      </w:tblCellMar>
    </w:tblPr>
  </w:style>
  <w:style w:type="table" w:customStyle="1" w:styleId="28">
    <w:name w:val="_Style 19"/>
    <w:basedOn w:val="9"/>
    <w:qFormat/>
    <w:uiPriority w:val="0"/>
    <w:tblPr>
      <w:tblCellMar>
        <w:left w:w="115" w:type="dxa"/>
        <w:right w:w="115" w:type="dxa"/>
      </w:tblCellMar>
    </w:tblPr>
  </w:style>
  <w:style w:type="table" w:customStyle="1" w:styleId="29">
    <w:name w:val="_Style 20"/>
    <w:basedOn w:val="9"/>
    <w:qFormat/>
    <w:uiPriority w:val="0"/>
    <w:tblPr>
      <w:tblCellMar>
        <w:left w:w="115" w:type="dxa"/>
        <w:right w:w="115" w:type="dxa"/>
      </w:tblCellMar>
    </w:tblPr>
  </w:style>
  <w:style w:type="table" w:customStyle="1" w:styleId="30">
    <w:name w:val="_Style 21"/>
    <w:basedOn w:val="9"/>
    <w:qFormat/>
    <w:uiPriority w:val="0"/>
    <w:tblPr>
      <w:tblCellMar>
        <w:left w:w="115" w:type="dxa"/>
        <w:right w:w="115" w:type="dxa"/>
      </w:tblCellMar>
    </w:tblPr>
  </w:style>
  <w:style w:type="table" w:customStyle="1" w:styleId="31">
    <w:name w:val="_Style 22"/>
    <w:basedOn w:val="9"/>
    <w:qFormat/>
    <w:uiPriority w:val="0"/>
    <w:tblPr>
      <w:tblCellMar>
        <w:left w:w="115" w:type="dxa"/>
        <w:right w:w="115" w:type="dxa"/>
      </w:tblCellMar>
    </w:tblPr>
  </w:style>
  <w:style w:type="table" w:customStyle="1" w:styleId="32">
    <w:name w:val="_Style 23"/>
    <w:basedOn w:val="9"/>
    <w:qFormat/>
    <w:uiPriority w:val="0"/>
    <w:tblPr>
      <w:tblCellMar>
        <w:left w:w="115" w:type="dxa"/>
        <w:right w:w="115" w:type="dxa"/>
      </w:tblCellMar>
    </w:tblPr>
  </w:style>
  <w:style w:type="table" w:customStyle="1" w:styleId="33">
    <w:name w:val="_Style 24"/>
    <w:basedOn w:val="9"/>
    <w:qFormat/>
    <w:uiPriority w:val="0"/>
    <w:tblPr>
      <w:tblCellMar>
        <w:left w:w="115" w:type="dxa"/>
        <w:right w:w="115" w:type="dxa"/>
      </w:tblCellMar>
    </w:tblPr>
  </w:style>
  <w:style w:type="table" w:customStyle="1" w:styleId="34">
    <w:name w:val="_Style 25"/>
    <w:basedOn w:val="9"/>
    <w:qFormat/>
    <w:uiPriority w:val="0"/>
    <w:tblPr>
      <w:tblCellMar>
        <w:left w:w="115" w:type="dxa"/>
        <w:right w:w="115" w:type="dxa"/>
      </w:tblCellMar>
    </w:tblPr>
  </w:style>
  <w:style w:type="table" w:customStyle="1" w:styleId="35">
    <w:name w:val="_Style 26"/>
    <w:basedOn w:val="9"/>
    <w:qFormat/>
    <w:uiPriority w:val="0"/>
    <w:tblPr>
      <w:tblCellMar>
        <w:left w:w="115" w:type="dxa"/>
        <w:right w:w="115" w:type="dxa"/>
      </w:tblCellMar>
    </w:tblPr>
  </w:style>
  <w:style w:type="table" w:customStyle="1" w:styleId="36">
    <w:name w:val="_Style 27"/>
    <w:basedOn w:val="9"/>
    <w:qFormat/>
    <w:uiPriority w:val="0"/>
    <w:tblPr>
      <w:tblCellMar>
        <w:left w:w="115" w:type="dxa"/>
        <w:right w:w="115" w:type="dxa"/>
      </w:tblCellMar>
    </w:tblPr>
  </w:style>
  <w:style w:type="table" w:customStyle="1" w:styleId="37">
    <w:name w:val="_Style 28"/>
    <w:basedOn w:val="9"/>
    <w:qFormat/>
    <w:uiPriority w:val="0"/>
    <w:tblPr>
      <w:tblCellMar>
        <w:left w:w="115" w:type="dxa"/>
        <w:right w:w="115" w:type="dxa"/>
      </w:tblCellMar>
    </w:tblPr>
  </w:style>
  <w:style w:type="character" w:customStyle="1" w:styleId="38">
    <w:name w:val="Текст выноски Знак"/>
    <w:basedOn w:val="8"/>
    <w:link w:val="12"/>
    <w:semiHidden/>
    <w:qFormat/>
    <w:uiPriority w:val="99"/>
    <w:rPr>
      <w:rFonts w:ascii="Segoe UI" w:hAnsi="Segoe UI" w:cs="Segoe UI"/>
      <w:sz w:val="18"/>
      <w:szCs w:val="18"/>
    </w:rPr>
  </w:style>
  <w:style w:type="character" w:customStyle="1" w:styleId="39">
    <w:name w:val="Верхний колонтитул Знак"/>
    <w:basedOn w:val="8"/>
    <w:link w:val="13"/>
    <w:qFormat/>
    <w:uiPriority w:val="99"/>
  </w:style>
  <w:style w:type="character" w:customStyle="1" w:styleId="40">
    <w:name w:val="Нижний колонтитул Знак"/>
    <w:basedOn w:val="8"/>
    <w:link w:val="16"/>
    <w:qFormat/>
    <w:uiPriority w:val="99"/>
  </w:style>
  <w:style w:type="paragraph" w:styleId="41">
    <w:name w:val="List Paragraph"/>
    <w:basedOn w:val="1"/>
    <w:link w:val="42"/>
    <w:qFormat/>
    <w:uiPriority w:val="34"/>
    <w:pPr>
      <w:ind w:left="720"/>
      <w:contextualSpacing/>
    </w:pPr>
  </w:style>
  <w:style w:type="character" w:customStyle="1" w:styleId="42">
    <w:name w:val="Абзац списка Знак"/>
    <w:link w:val="41"/>
    <w:qFormat/>
    <w:locked/>
    <w:uiPriority w:val="34"/>
  </w:style>
  <w:style w:type="character" w:customStyle="1" w:styleId="43">
    <w:name w:val="contentcontrolboundarysink"/>
    <w:basedOn w:val="8"/>
    <w:qFormat/>
    <w:uiPriority w:val="0"/>
  </w:style>
  <w:style w:type="character" w:customStyle="1" w:styleId="44">
    <w:name w:val="normaltextrun"/>
    <w:basedOn w:val="8"/>
    <w:qFormat/>
    <w:uiPriority w:val="0"/>
  </w:style>
  <w:style w:type="character" w:customStyle="1" w:styleId="45">
    <w:name w:val="eop"/>
    <w:basedOn w:val="8"/>
    <w:qFormat/>
    <w:uiPriority w:val="0"/>
  </w:style>
  <w:style w:type="table" w:customStyle="1" w:styleId="46">
    <w:name w:val="Table Normal1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7">
    <w:name w:val="Table Paragraph"/>
    <w:basedOn w:val="1"/>
    <w:qFormat/>
    <w:uiPriority w:val="1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8E2E28-4375-412A-B1C4-C8C1EF9D2578}">
  <ds:schemaRefs/>
</ds:datastoreItem>
</file>

<file path=customXml/itemProps2.xml><?xml version="1.0" encoding="utf-8"?>
<ds:datastoreItem xmlns:ds="http://schemas.openxmlformats.org/officeDocument/2006/customXml" ds:itemID="{0B8365E6-5F13-467B-842E-9BE5178AD20C}">
  <ds:schemaRefs/>
</ds:datastoreItem>
</file>

<file path=customXml/itemProps3.xml><?xml version="1.0" encoding="utf-8"?>
<ds:datastoreItem xmlns:ds="http://schemas.openxmlformats.org/officeDocument/2006/customXml" ds:itemID="{65585658-F44C-45A0-8AD2-CF666805F4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2724</Words>
  <Characters>15531</Characters>
  <Lines>129</Lines>
  <Paragraphs>36</Paragraphs>
  <TotalTime>7</TotalTime>
  <ScaleCrop>false</ScaleCrop>
  <LinksUpToDate>false</LinksUpToDate>
  <CharactersWithSpaces>18219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2022-06-22T05:26:00Z</dcterms:created>
  <dc:creator>Амирбекова Гулмира</dc:creator>
  <cp:lastModifiedBy>Admin</cp:lastModifiedBy>
  <cp:lastPrinted>2023-06-26T06:38:00Z</cp:lastPrinted>
  <dcterms:modified xsi:type="dcterms:W3CDTF">2023-08-23T05:56:00Z</dcterms:modified>
  <cp:revision>603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  <property fmtid="{D5CDD505-2E9C-101B-9397-08002B2CF9AE}" pid="4" name="KSOProductBuildVer">
    <vt:lpwstr>1049-11.2.0.11537</vt:lpwstr>
  </property>
  <property fmtid="{D5CDD505-2E9C-101B-9397-08002B2CF9AE}" pid="5" name="ICV">
    <vt:lpwstr>AB83E68E113D482A901145FB182A3D46</vt:lpwstr>
  </property>
</Properties>
</file>